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09" w:rsidRPr="008D38F5" w:rsidRDefault="002D4509" w:rsidP="002D4509">
      <w:pPr>
        <w:spacing w:line="360" w:lineRule="auto"/>
        <w:contextualSpacing/>
        <w:jc w:val="both"/>
        <w:rPr>
          <w:sz w:val="20"/>
          <w:szCs w:val="20"/>
        </w:rPr>
      </w:pPr>
      <w:r w:rsidRPr="008D38F5">
        <w:rPr>
          <w:sz w:val="20"/>
          <w:szCs w:val="20"/>
        </w:rPr>
        <w:t>Universität Wien</w:t>
      </w:r>
    </w:p>
    <w:p w:rsidR="002D4509" w:rsidRPr="008D38F5" w:rsidRDefault="002D4509" w:rsidP="002D4509">
      <w:pPr>
        <w:spacing w:line="360" w:lineRule="auto"/>
        <w:contextualSpacing/>
        <w:jc w:val="both"/>
        <w:rPr>
          <w:sz w:val="20"/>
          <w:szCs w:val="20"/>
        </w:rPr>
      </w:pPr>
      <w:r w:rsidRPr="008D38F5">
        <w:rPr>
          <w:sz w:val="20"/>
          <w:szCs w:val="20"/>
        </w:rPr>
        <w:t xml:space="preserve">Name: Sandra Ehrenhöfer </w:t>
      </w:r>
    </w:p>
    <w:p w:rsidR="002D4509" w:rsidRPr="008D38F5" w:rsidRDefault="002D4509" w:rsidP="002D4509">
      <w:pPr>
        <w:spacing w:line="360" w:lineRule="auto"/>
        <w:contextualSpacing/>
        <w:jc w:val="both"/>
        <w:rPr>
          <w:sz w:val="20"/>
          <w:szCs w:val="20"/>
        </w:rPr>
      </w:pPr>
      <w:r w:rsidRPr="008D38F5">
        <w:rPr>
          <w:sz w:val="20"/>
          <w:szCs w:val="20"/>
        </w:rPr>
        <w:t>Matrikelnummer: 0702093</w:t>
      </w:r>
    </w:p>
    <w:p w:rsidR="002D4509" w:rsidRPr="008D38F5" w:rsidRDefault="002D4509" w:rsidP="002D4509">
      <w:pPr>
        <w:spacing w:line="360" w:lineRule="auto"/>
        <w:contextualSpacing/>
        <w:jc w:val="both"/>
        <w:rPr>
          <w:sz w:val="20"/>
          <w:szCs w:val="20"/>
        </w:rPr>
      </w:pPr>
      <w:r w:rsidRPr="008D38F5">
        <w:rPr>
          <w:sz w:val="20"/>
          <w:szCs w:val="20"/>
        </w:rPr>
        <w:t xml:space="preserve">Studienkennzahl: </w:t>
      </w:r>
      <w:r>
        <w:rPr>
          <w:sz w:val="20"/>
          <w:szCs w:val="20"/>
        </w:rPr>
        <w:t>317 A</w:t>
      </w:r>
    </w:p>
    <w:p w:rsidR="002D4509" w:rsidRPr="008D38F5" w:rsidRDefault="002D4509" w:rsidP="002D4509">
      <w:pPr>
        <w:spacing w:line="360" w:lineRule="auto"/>
        <w:contextualSpacing/>
        <w:jc w:val="both"/>
        <w:rPr>
          <w:sz w:val="20"/>
          <w:szCs w:val="20"/>
        </w:rPr>
      </w:pPr>
      <w:r w:rsidRPr="008D38F5">
        <w:rPr>
          <w:sz w:val="20"/>
          <w:szCs w:val="20"/>
        </w:rPr>
        <w:t>E-Mail-Adresse: a0702093@unet.univie.ac.at</w:t>
      </w:r>
    </w:p>
    <w:p w:rsidR="002D4509" w:rsidRPr="008D38F5" w:rsidRDefault="002D4509" w:rsidP="002D4509">
      <w:pPr>
        <w:spacing w:line="360" w:lineRule="auto"/>
        <w:contextualSpacing/>
        <w:jc w:val="both"/>
        <w:rPr>
          <w:noProof/>
          <w:sz w:val="20"/>
          <w:szCs w:val="20"/>
          <w:lang w:eastAsia="de-DE"/>
        </w:rPr>
      </w:pPr>
    </w:p>
    <w:p w:rsidR="002D4509" w:rsidRDefault="002D4509" w:rsidP="002D4509">
      <w:pPr>
        <w:spacing w:line="360" w:lineRule="auto"/>
        <w:contextualSpacing/>
        <w:jc w:val="both"/>
        <w:rPr>
          <w:noProof/>
          <w:lang w:eastAsia="de-DE"/>
        </w:rPr>
      </w:pPr>
    </w:p>
    <w:p w:rsidR="002D4509" w:rsidRDefault="002D4509" w:rsidP="002D4509">
      <w:pPr>
        <w:spacing w:line="360" w:lineRule="auto"/>
        <w:contextualSpacing/>
        <w:jc w:val="both"/>
        <w:rPr>
          <w:noProof/>
          <w:lang w:eastAsia="de-DE"/>
        </w:rPr>
      </w:pPr>
    </w:p>
    <w:p w:rsidR="002D4509" w:rsidRDefault="00726FD6" w:rsidP="002D4509">
      <w:pPr>
        <w:spacing w:line="360" w:lineRule="auto"/>
        <w:contextualSpacing/>
        <w:jc w:val="both"/>
        <w:rPr>
          <w:noProof/>
          <w:lang w:eastAsia="de-DE"/>
        </w:rPr>
      </w:pPr>
      <w:r>
        <w:rPr>
          <w:noProof/>
          <w:sz w:val="48"/>
          <w:szCs w:val="48"/>
          <w:lang w:eastAsia="de-DE"/>
        </w:rPr>
        <w:t>Seminar</w:t>
      </w:r>
      <w:r w:rsidR="003C0E44">
        <w:rPr>
          <w:noProof/>
          <w:sz w:val="48"/>
          <w:szCs w:val="48"/>
          <w:lang w:eastAsia="de-DE"/>
        </w:rPr>
        <w:t>arbeit</w:t>
      </w:r>
    </w:p>
    <w:p w:rsidR="002D4509" w:rsidRPr="007E4C86" w:rsidRDefault="002D4509" w:rsidP="002D4509">
      <w:pPr>
        <w:spacing w:line="360" w:lineRule="auto"/>
        <w:contextualSpacing/>
        <w:jc w:val="both"/>
        <w:rPr>
          <w:noProof/>
          <w:lang w:eastAsia="de-DE"/>
        </w:rPr>
      </w:pPr>
    </w:p>
    <w:p w:rsidR="009E5AAD" w:rsidRPr="009E5AAD" w:rsidRDefault="00726FD6" w:rsidP="009E5AAD">
      <w:pPr>
        <w:spacing w:line="360" w:lineRule="auto"/>
        <w:contextualSpacing/>
        <w:jc w:val="both"/>
        <w:rPr>
          <w:noProof/>
          <w:sz w:val="36"/>
          <w:szCs w:val="36"/>
          <w:lang w:eastAsia="de-DE"/>
        </w:rPr>
      </w:pPr>
      <w:r>
        <w:rPr>
          <w:noProof/>
          <w:sz w:val="36"/>
          <w:szCs w:val="36"/>
          <w:lang w:eastAsia="de-DE"/>
        </w:rPr>
        <w:t xml:space="preserve"> </w:t>
      </w:r>
      <w:r w:rsidR="002D4509">
        <w:rPr>
          <w:noProof/>
          <w:sz w:val="36"/>
          <w:szCs w:val="36"/>
          <w:lang w:eastAsia="de-DE"/>
        </w:rPr>
        <w:t>„</w:t>
      </w:r>
      <w:r w:rsidR="009E5AAD" w:rsidRPr="009E5AAD">
        <w:rPr>
          <w:noProof/>
          <w:sz w:val="36"/>
          <w:szCs w:val="36"/>
          <w:lang w:eastAsia="de-DE"/>
        </w:rPr>
        <w:t>Anfang am Ende und Ende am Anfang. Über die narrativen</w:t>
      </w:r>
    </w:p>
    <w:p w:rsidR="002D4509" w:rsidRDefault="009E5AAD" w:rsidP="009E5AAD">
      <w:pPr>
        <w:spacing w:line="360" w:lineRule="auto"/>
        <w:contextualSpacing/>
        <w:jc w:val="both"/>
        <w:rPr>
          <w:noProof/>
          <w:sz w:val="36"/>
          <w:szCs w:val="36"/>
          <w:lang w:eastAsia="de-DE"/>
        </w:rPr>
      </w:pPr>
      <w:r>
        <w:rPr>
          <w:noProof/>
          <w:sz w:val="36"/>
          <w:szCs w:val="36"/>
          <w:lang w:eastAsia="de-DE"/>
        </w:rPr>
        <w:t>Elemente</w:t>
      </w:r>
      <w:r w:rsidRPr="009E5AAD">
        <w:rPr>
          <w:noProof/>
          <w:sz w:val="36"/>
          <w:szCs w:val="36"/>
          <w:lang w:eastAsia="de-DE"/>
        </w:rPr>
        <w:t xml:space="preserve"> von Pa</w:t>
      </w:r>
      <w:r>
        <w:rPr>
          <w:noProof/>
          <w:sz w:val="36"/>
          <w:szCs w:val="36"/>
          <w:lang w:eastAsia="de-DE"/>
        </w:rPr>
        <w:t xml:space="preserve">trick Süßkinds und Tom Tykwers </w:t>
      </w:r>
      <w:r w:rsidRPr="009E5AAD">
        <w:rPr>
          <w:i/>
          <w:noProof/>
          <w:sz w:val="36"/>
          <w:szCs w:val="36"/>
          <w:lang w:eastAsia="de-DE"/>
        </w:rPr>
        <w:t>Das Parfum</w:t>
      </w:r>
      <w:r w:rsidRPr="009E5AAD">
        <w:rPr>
          <w:noProof/>
          <w:sz w:val="36"/>
          <w:szCs w:val="36"/>
          <w:lang w:eastAsia="de-DE"/>
        </w:rPr>
        <w:t xml:space="preserve"> anhand</w:t>
      </w:r>
      <w:r>
        <w:rPr>
          <w:noProof/>
          <w:sz w:val="36"/>
          <w:szCs w:val="36"/>
          <w:lang w:eastAsia="de-DE"/>
        </w:rPr>
        <w:t xml:space="preserve"> </w:t>
      </w:r>
      <w:r w:rsidR="00FF39D2">
        <w:rPr>
          <w:noProof/>
          <w:sz w:val="36"/>
          <w:szCs w:val="36"/>
          <w:lang w:eastAsia="de-DE"/>
        </w:rPr>
        <w:t xml:space="preserve">des Vergleichs von Anfang/Ende </w:t>
      </w:r>
      <w:r w:rsidRPr="009E5AAD">
        <w:rPr>
          <w:noProof/>
          <w:sz w:val="36"/>
          <w:szCs w:val="36"/>
          <w:lang w:eastAsia="de-DE"/>
        </w:rPr>
        <w:t>in Roman und filmischer Adapt</w:t>
      </w:r>
      <w:r w:rsidR="00FF39D2">
        <w:rPr>
          <w:noProof/>
          <w:sz w:val="36"/>
          <w:szCs w:val="36"/>
          <w:lang w:eastAsia="de-DE"/>
        </w:rPr>
        <w:t>at</w:t>
      </w:r>
      <w:r w:rsidRPr="009E5AAD">
        <w:rPr>
          <w:noProof/>
          <w:sz w:val="36"/>
          <w:szCs w:val="36"/>
          <w:lang w:eastAsia="de-DE"/>
        </w:rPr>
        <w:t>ion</w:t>
      </w:r>
      <w:r w:rsidR="002D4509">
        <w:rPr>
          <w:noProof/>
          <w:sz w:val="36"/>
          <w:szCs w:val="36"/>
          <w:lang w:eastAsia="de-DE"/>
        </w:rPr>
        <w:t>“</w:t>
      </w:r>
    </w:p>
    <w:p w:rsidR="002D4509" w:rsidRDefault="002D4509" w:rsidP="002D4509">
      <w:pPr>
        <w:spacing w:line="360" w:lineRule="auto"/>
        <w:contextualSpacing/>
        <w:jc w:val="both"/>
        <w:rPr>
          <w:noProof/>
          <w:lang w:eastAsia="de-DE"/>
        </w:rPr>
      </w:pPr>
    </w:p>
    <w:p w:rsidR="002D4509" w:rsidRDefault="002D4509" w:rsidP="002D4509">
      <w:pPr>
        <w:spacing w:line="360" w:lineRule="auto"/>
        <w:contextualSpacing/>
        <w:jc w:val="both"/>
        <w:rPr>
          <w:noProof/>
          <w:lang w:eastAsia="de-DE"/>
        </w:rPr>
      </w:pPr>
    </w:p>
    <w:p w:rsidR="002D4509" w:rsidRPr="007E4C86" w:rsidRDefault="002D4509" w:rsidP="002D4509">
      <w:pPr>
        <w:spacing w:line="360" w:lineRule="auto"/>
        <w:contextualSpacing/>
        <w:jc w:val="both"/>
        <w:rPr>
          <w:noProof/>
          <w:lang w:eastAsia="de-DE"/>
        </w:rPr>
      </w:pPr>
    </w:p>
    <w:p w:rsidR="002D4509" w:rsidRDefault="002D4509" w:rsidP="002D4509">
      <w:pPr>
        <w:spacing w:line="360" w:lineRule="auto"/>
        <w:contextualSpacing/>
        <w:jc w:val="both"/>
        <w:rPr>
          <w:noProof/>
          <w:lang w:eastAsia="de-DE"/>
        </w:rPr>
      </w:pPr>
      <w:r>
        <w:rPr>
          <w:noProof/>
          <w:lang w:eastAsia="de-DE"/>
        </w:rPr>
        <w:t>Verfasserin</w:t>
      </w:r>
    </w:p>
    <w:p w:rsidR="002D4509" w:rsidRDefault="002D4509" w:rsidP="002D4509">
      <w:pPr>
        <w:spacing w:line="360" w:lineRule="auto"/>
        <w:contextualSpacing/>
        <w:jc w:val="both"/>
        <w:rPr>
          <w:noProof/>
          <w:lang w:eastAsia="de-DE"/>
        </w:rPr>
      </w:pPr>
      <w:r>
        <w:rPr>
          <w:noProof/>
          <w:lang w:eastAsia="de-DE"/>
        </w:rPr>
        <w:t>Ehrenhöfer Sandra</w:t>
      </w:r>
    </w:p>
    <w:p w:rsidR="002D4509" w:rsidRDefault="002D4509" w:rsidP="002D4509">
      <w:pPr>
        <w:spacing w:line="360" w:lineRule="auto"/>
        <w:contextualSpacing/>
        <w:jc w:val="both"/>
        <w:rPr>
          <w:noProof/>
          <w:lang w:eastAsia="de-DE"/>
        </w:rPr>
      </w:pPr>
    </w:p>
    <w:p w:rsidR="002D4509" w:rsidRPr="007E4C86" w:rsidRDefault="002D4509" w:rsidP="002D4509">
      <w:pPr>
        <w:spacing w:line="360" w:lineRule="auto"/>
        <w:contextualSpacing/>
        <w:jc w:val="both"/>
        <w:rPr>
          <w:noProof/>
          <w:sz w:val="20"/>
          <w:szCs w:val="20"/>
          <w:lang w:eastAsia="de-DE"/>
        </w:rPr>
      </w:pPr>
      <w:r w:rsidRPr="007E4C86">
        <w:rPr>
          <w:noProof/>
          <w:sz w:val="20"/>
          <w:szCs w:val="20"/>
          <w:lang w:eastAsia="de-DE"/>
        </w:rPr>
        <w:t xml:space="preserve">Wien, im </w:t>
      </w:r>
      <w:r>
        <w:rPr>
          <w:noProof/>
          <w:sz w:val="20"/>
          <w:szCs w:val="20"/>
          <w:lang w:eastAsia="de-DE"/>
        </w:rPr>
        <w:t>September</w:t>
      </w:r>
      <w:r w:rsidRPr="007E4C86">
        <w:rPr>
          <w:noProof/>
          <w:sz w:val="20"/>
          <w:szCs w:val="20"/>
          <w:lang w:eastAsia="de-DE"/>
        </w:rPr>
        <w:t xml:space="preserve"> 2010 </w:t>
      </w:r>
    </w:p>
    <w:p w:rsidR="002D4509" w:rsidRDefault="002D4509" w:rsidP="002D4509">
      <w:pPr>
        <w:spacing w:line="360" w:lineRule="auto"/>
        <w:contextualSpacing/>
        <w:jc w:val="both"/>
        <w:rPr>
          <w:noProof/>
          <w:lang w:eastAsia="de-DE"/>
        </w:rPr>
      </w:pPr>
    </w:p>
    <w:p w:rsidR="002D4509" w:rsidRDefault="002D4509" w:rsidP="002D4509">
      <w:pPr>
        <w:spacing w:line="360" w:lineRule="auto"/>
        <w:contextualSpacing/>
        <w:jc w:val="both"/>
        <w:rPr>
          <w:noProof/>
          <w:lang w:eastAsia="de-DE"/>
        </w:rPr>
      </w:pPr>
    </w:p>
    <w:p w:rsidR="002D4509" w:rsidRDefault="002D4509" w:rsidP="002D4509">
      <w:pPr>
        <w:spacing w:line="360" w:lineRule="auto"/>
        <w:contextualSpacing/>
        <w:jc w:val="both"/>
        <w:rPr>
          <w:noProof/>
          <w:sz w:val="20"/>
          <w:szCs w:val="20"/>
          <w:lang w:eastAsia="de-DE"/>
        </w:rPr>
      </w:pPr>
      <w:r w:rsidRPr="007E4C86">
        <w:rPr>
          <w:noProof/>
          <w:sz w:val="20"/>
          <w:szCs w:val="20"/>
          <w:lang w:eastAsia="de-DE"/>
        </w:rPr>
        <w:t>Studienkennzahl lt. Studienblatt</w:t>
      </w:r>
      <w:r>
        <w:rPr>
          <w:noProof/>
          <w:sz w:val="20"/>
          <w:szCs w:val="20"/>
          <w:lang w:eastAsia="de-DE"/>
        </w:rPr>
        <w:t>:</w:t>
      </w:r>
      <w:r>
        <w:rPr>
          <w:noProof/>
          <w:sz w:val="20"/>
          <w:szCs w:val="20"/>
          <w:lang w:eastAsia="de-DE"/>
        </w:rPr>
        <w:tab/>
        <w:t>317 A</w:t>
      </w:r>
    </w:p>
    <w:p w:rsidR="002D4509" w:rsidRDefault="002D4509" w:rsidP="002D4509">
      <w:pPr>
        <w:spacing w:line="360" w:lineRule="auto"/>
        <w:contextualSpacing/>
        <w:jc w:val="both"/>
        <w:rPr>
          <w:noProof/>
          <w:sz w:val="20"/>
          <w:szCs w:val="20"/>
          <w:lang w:eastAsia="de-DE"/>
        </w:rPr>
      </w:pPr>
      <w:r>
        <w:rPr>
          <w:noProof/>
          <w:sz w:val="20"/>
          <w:szCs w:val="20"/>
          <w:lang w:eastAsia="de-DE"/>
        </w:rPr>
        <w:t>Studienrichtung It. Studienblatt:</w:t>
      </w:r>
      <w:r>
        <w:rPr>
          <w:noProof/>
          <w:sz w:val="20"/>
          <w:szCs w:val="20"/>
          <w:lang w:eastAsia="de-DE"/>
        </w:rPr>
        <w:tab/>
        <w:t>Theater-, Film- und Medienwissenschaft</w:t>
      </w:r>
    </w:p>
    <w:p w:rsidR="002D4509" w:rsidRDefault="002D4509" w:rsidP="002D4509">
      <w:pPr>
        <w:spacing w:line="360" w:lineRule="auto"/>
        <w:contextualSpacing/>
        <w:jc w:val="both"/>
        <w:rPr>
          <w:noProof/>
          <w:sz w:val="20"/>
          <w:szCs w:val="20"/>
          <w:lang w:eastAsia="de-DE"/>
        </w:rPr>
      </w:pPr>
    </w:p>
    <w:p w:rsidR="002D4509" w:rsidRPr="007E4C86" w:rsidRDefault="002D4509" w:rsidP="002D4509">
      <w:pPr>
        <w:spacing w:line="360" w:lineRule="auto"/>
        <w:contextualSpacing/>
        <w:jc w:val="both"/>
        <w:rPr>
          <w:noProof/>
          <w:sz w:val="20"/>
          <w:szCs w:val="20"/>
          <w:lang w:eastAsia="de-DE"/>
        </w:rPr>
      </w:pPr>
    </w:p>
    <w:p w:rsidR="002D4509" w:rsidRDefault="002D4509" w:rsidP="002D4509">
      <w:pPr>
        <w:spacing w:line="360" w:lineRule="auto"/>
        <w:contextualSpacing/>
        <w:jc w:val="both"/>
        <w:rPr>
          <w:sz w:val="20"/>
          <w:szCs w:val="20"/>
        </w:rPr>
      </w:pPr>
      <w:r w:rsidRPr="008D38F5">
        <w:rPr>
          <w:sz w:val="20"/>
          <w:szCs w:val="20"/>
        </w:rPr>
        <w:t xml:space="preserve">Lehrveranstaltung: </w:t>
      </w:r>
      <w:r w:rsidRPr="002D4509">
        <w:rPr>
          <w:sz w:val="20"/>
          <w:szCs w:val="20"/>
        </w:rPr>
        <w:t>SE Seminar zu Theorien und Methoden der Theater-, Film- und Medienwissenschaft - Narrativität in Theater, Film und Medien</w:t>
      </w:r>
    </w:p>
    <w:p w:rsidR="002D4509" w:rsidRDefault="002D4509" w:rsidP="002D4509">
      <w:pPr>
        <w:spacing w:line="360" w:lineRule="auto"/>
        <w:contextualSpacing/>
        <w:jc w:val="both"/>
        <w:rPr>
          <w:sz w:val="20"/>
          <w:szCs w:val="20"/>
        </w:rPr>
      </w:pPr>
      <w:r>
        <w:rPr>
          <w:sz w:val="20"/>
          <w:szCs w:val="20"/>
        </w:rPr>
        <w:t xml:space="preserve">Nummer des </w:t>
      </w:r>
      <w:r w:rsidRPr="008D38F5">
        <w:rPr>
          <w:sz w:val="20"/>
          <w:szCs w:val="20"/>
        </w:rPr>
        <w:t>S</w:t>
      </w:r>
      <w:r>
        <w:rPr>
          <w:sz w:val="20"/>
          <w:szCs w:val="20"/>
        </w:rPr>
        <w:t>E</w:t>
      </w:r>
      <w:r w:rsidRPr="008D38F5">
        <w:rPr>
          <w:sz w:val="20"/>
          <w:szCs w:val="20"/>
        </w:rPr>
        <w:t xml:space="preserve">: </w:t>
      </w:r>
      <w:r w:rsidRPr="002D4509">
        <w:rPr>
          <w:sz w:val="20"/>
          <w:szCs w:val="20"/>
        </w:rPr>
        <w:t>170152</w:t>
      </w:r>
    </w:p>
    <w:p w:rsidR="002D4509" w:rsidRPr="008D38F5" w:rsidRDefault="002D4509" w:rsidP="002D4509">
      <w:pPr>
        <w:spacing w:line="360" w:lineRule="auto"/>
        <w:contextualSpacing/>
        <w:jc w:val="both"/>
        <w:rPr>
          <w:sz w:val="20"/>
          <w:szCs w:val="20"/>
        </w:rPr>
      </w:pPr>
      <w:r w:rsidRPr="008D38F5">
        <w:rPr>
          <w:sz w:val="20"/>
          <w:szCs w:val="20"/>
        </w:rPr>
        <w:t xml:space="preserve">Lehrveranstaltungsleiterin: </w:t>
      </w:r>
      <w:r>
        <w:rPr>
          <w:sz w:val="20"/>
          <w:szCs w:val="20"/>
        </w:rPr>
        <w:t>Britta Hartmann</w:t>
      </w:r>
    </w:p>
    <w:p w:rsidR="002D4509" w:rsidRPr="008D38F5" w:rsidRDefault="002D4509" w:rsidP="002D4509">
      <w:pPr>
        <w:spacing w:line="360" w:lineRule="auto"/>
        <w:contextualSpacing/>
        <w:jc w:val="both"/>
        <w:rPr>
          <w:sz w:val="20"/>
          <w:szCs w:val="20"/>
        </w:rPr>
      </w:pPr>
      <w:r w:rsidRPr="008D38F5">
        <w:rPr>
          <w:sz w:val="20"/>
          <w:szCs w:val="20"/>
        </w:rPr>
        <w:t>Semester: SS 2010</w:t>
      </w:r>
      <w:r>
        <w:rPr>
          <w:sz w:val="20"/>
          <w:szCs w:val="20"/>
        </w:rPr>
        <w:t>/Septemberblock</w:t>
      </w:r>
    </w:p>
    <w:p w:rsidR="002D4509" w:rsidRPr="008D38F5" w:rsidRDefault="002D4509" w:rsidP="002D4509">
      <w:pPr>
        <w:spacing w:line="360" w:lineRule="auto"/>
        <w:contextualSpacing/>
        <w:jc w:val="both"/>
        <w:rPr>
          <w:noProof/>
          <w:lang w:eastAsia="de-DE"/>
        </w:rPr>
      </w:pPr>
    </w:p>
    <w:p w:rsidR="00E50920" w:rsidRDefault="00E50920" w:rsidP="002D4509">
      <w:pPr>
        <w:pStyle w:val="berschrift1"/>
        <w:spacing w:before="0" w:after="0" w:line="360" w:lineRule="auto"/>
        <w:contextualSpacing/>
        <w:jc w:val="both"/>
        <w:rPr>
          <w:rFonts w:ascii="Times New Roman" w:hAnsi="Times New Roman"/>
          <w:sz w:val="28"/>
        </w:rPr>
      </w:pPr>
    </w:p>
    <w:p w:rsidR="002D4509" w:rsidRPr="00A03787" w:rsidRDefault="002D4509" w:rsidP="002D4509">
      <w:pPr>
        <w:pStyle w:val="berschrift1"/>
        <w:spacing w:before="0" w:after="0" w:line="360" w:lineRule="auto"/>
        <w:contextualSpacing/>
        <w:jc w:val="both"/>
        <w:rPr>
          <w:rFonts w:ascii="Times New Roman" w:hAnsi="Times New Roman"/>
          <w:sz w:val="28"/>
        </w:rPr>
      </w:pPr>
      <w:r>
        <w:rPr>
          <w:rFonts w:ascii="Times New Roman" w:hAnsi="Times New Roman"/>
          <w:sz w:val="28"/>
        </w:rPr>
        <w:t>Disposition</w:t>
      </w:r>
    </w:p>
    <w:p w:rsidR="002D4509" w:rsidRPr="00515103" w:rsidRDefault="002D4509" w:rsidP="002D4509">
      <w:pPr>
        <w:spacing w:line="360" w:lineRule="auto"/>
        <w:contextualSpacing/>
        <w:jc w:val="both"/>
        <w:rPr>
          <w:lang w:eastAsia="de-DE"/>
        </w:rPr>
      </w:pPr>
    </w:p>
    <w:p w:rsidR="002D4509" w:rsidRDefault="002D4509" w:rsidP="002D4509">
      <w:pPr>
        <w:pStyle w:val="Listenabsatz"/>
        <w:numPr>
          <w:ilvl w:val="0"/>
          <w:numId w:val="3"/>
        </w:numPr>
        <w:spacing w:line="360" w:lineRule="auto"/>
        <w:jc w:val="both"/>
        <w:rPr>
          <w:sz w:val="28"/>
          <w:szCs w:val="28"/>
          <w:lang w:val="de-DE" w:eastAsia="de-DE"/>
        </w:rPr>
      </w:pPr>
      <w:r w:rsidRPr="00A03787">
        <w:rPr>
          <w:sz w:val="28"/>
          <w:szCs w:val="28"/>
          <w:lang w:val="de-DE" w:eastAsia="de-DE"/>
        </w:rPr>
        <w:t>Theoretischer Teil</w:t>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t xml:space="preserve">Seite </w:t>
      </w:r>
      <w:r w:rsidR="002F63C3">
        <w:rPr>
          <w:sz w:val="28"/>
          <w:szCs w:val="28"/>
          <w:lang w:val="de-DE" w:eastAsia="de-DE"/>
        </w:rPr>
        <w:t>3</w:t>
      </w:r>
    </w:p>
    <w:p w:rsidR="00E50920" w:rsidRPr="00A03787" w:rsidRDefault="00E50920" w:rsidP="00E50920">
      <w:pPr>
        <w:pStyle w:val="Listenabsatz"/>
        <w:spacing w:line="360" w:lineRule="auto"/>
        <w:ind w:left="1080"/>
        <w:jc w:val="both"/>
        <w:rPr>
          <w:sz w:val="28"/>
          <w:szCs w:val="28"/>
          <w:lang w:val="de-DE" w:eastAsia="de-DE"/>
        </w:rPr>
      </w:pPr>
    </w:p>
    <w:p w:rsidR="002D4509" w:rsidRPr="00A03787" w:rsidRDefault="002D4509" w:rsidP="002D4509">
      <w:pPr>
        <w:pStyle w:val="Listenabsatz"/>
        <w:numPr>
          <w:ilvl w:val="0"/>
          <w:numId w:val="2"/>
        </w:numPr>
        <w:spacing w:line="360" w:lineRule="auto"/>
        <w:jc w:val="both"/>
        <w:rPr>
          <w:u w:val="single"/>
        </w:rPr>
      </w:pPr>
      <w:r w:rsidRPr="00DC28FF">
        <w:rPr>
          <w:u w:val="single"/>
        </w:rPr>
        <w:t>Einleitung</w:t>
      </w:r>
      <w:r>
        <w:tab/>
      </w:r>
      <w:r>
        <w:tab/>
      </w:r>
      <w:r>
        <w:tab/>
      </w:r>
      <w:r>
        <w:tab/>
      </w:r>
      <w:r>
        <w:tab/>
      </w:r>
      <w:r>
        <w:tab/>
      </w:r>
      <w:r>
        <w:tab/>
        <w:t xml:space="preserve">Seite </w:t>
      </w:r>
      <w:r w:rsidR="002F63C3">
        <w:t>3</w:t>
      </w:r>
    </w:p>
    <w:p w:rsidR="00637387" w:rsidRPr="00E9180A" w:rsidRDefault="00637387" w:rsidP="00637387">
      <w:pPr>
        <w:spacing w:line="360" w:lineRule="auto"/>
        <w:ind w:left="708" w:firstLine="708"/>
        <w:jc w:val="both"/>
        <w:rPr>
          <w:color w:val="auto"/>
        </w:rPr>
      </w:pPr>
      <w:r w:rsidRPr="00E9180A">
        <w:rPr>
          <w:color w:val="auto"/>
        </w:rPr>
        <w:t>1.1. Literaturverfilmung</w:t>
      </w:r>
      <w:r w:rsidRPr="00E9180A">
        <w:rPr>
          <w:color w:val="auto"/>
        </w:rPr>
        <w:tab/>
      </w:r>
      <w:r w:rsidRPr="00E9180A">
        <w:rPr>
          <w:color w:val="auto"/>
        </w:rPr>
        <w:tab/>
      </w:r>
      <w:r w:rsidRPr="00E9180A">
        <w:rPr>
          <w:color w:val="auto"/>
        </w:rPr>
        <w:tab/>
      </w:r>
      <w:r w:rsidRPr="00E9180A">
        <w:rPr>
          <w:color w:val="auto"/>
        </w:rPr>
        <w:tab/>
      </w:r>
      <w:r w:rsidRPr="00E9180A">
        <w:rPr>
          <w:color w:val="auto"/>
        </w:rPr>
        <w:tab/>
        <w:t>Seite</w:t>
      </w:r>
      <w:r w:rsidR="002F63C3" w:rsidRPr="00E9180A">
        <w:rPr>
          <w:color w:val="auto"/>
        </w:rPr>
        <w:t xml:space="preserve"> 3 </w:t>
      </w:r>
    </w:p>
    <w:p w:rsidR="00637387" w:rsidRPr="00E9180A" w:rsidRDefault="00637387" w:rsidP="00637387">
      <w:pPr>
        <w:spacing w:line="360" w:lineRule="auto"/>
        <w:ind w:left="708" w:firstLine="708"/>
        <w:jc w:val="both"/>
        <w:rPr>
          <w:color w:val="auto"/>
        </w:rPr>
      </w:pPr>
      <w:r w:rsidRPr="00E9180A">
        <w:rPr>
          <w:color w:val="auto"/>
        </w:rPr>
        <w:t>1.2. Differenz: Literatur und Filmnarration</w:t>
      </w:r>
      <w:r w:rsidRPr="00E9180A">
        <w:rPr>
          <w:color w:val="auto"/>
        </w:rPr>
        <w:tab/>
      </w:r>
      <w:r w:rsidRPr="00E9180A">
        <w:rPr>
          <w:color w:val="auto"/>
        </w:rPr>
        <w:tab/>
      </w:r>
      <w:r w:rsidRPr="00E9180A">
        <w:rPr>
          <w:color w:val="auto"/>
        </w:rPr>
        <w:tab/>
        <w:t>Seite</w:t>
      </w:r>
      <w:r w:rsidR="002F63C3" w:rsidRPr="00E9180A">
        <w:rPr>
          <w:color w:val="auto"/>
        </w:rPr>
        <w:t xml:space="preserve"> 3</w:t>
      </w:r>
    </w:p>
    <w:p w:rsidR="002F63C3" w:rsidRPr="00E9180A" w:rsidRDefault="00637387" w:rsidP="002F63C3">
      <w:pPr>
        <w:spacing w:line="360" w:lineRule="auto"/>
        <w:ind w:left="708" w:firstLine="708"/>
        <w:jc w:val="both"/>
        <w:rPr>
          <w:color w:val="auto"/>
        </w:rPr>
      </w:pPr>
      <w:r w:rsidRPr="00E9180A">
        <w:rPr>
          <w:color w:val="auto"/>
        </w:rPr>
        <w:t>1.3. Intermedialität</w:t>
      </w:r>
      <w:r w:rsidRPr="00E9180A">
        <w:rPr>
          <w:color w:val="auto"/>
        </w:rPr>
        <w:tab/>
      </w:r>
      <w:r w:rsidRPr="00E9180A">
        <w:rPr>
          <w:color w:val="auto"/>
        </w:rPr>
        <w:tab/>
      </w:r>
      <w:r w:rsidRPr="00E9180A">
        <w:rPr>
          <w:color w:val="auto"/>
        </w:rPr>
        <w:tab/>
      </w:r>
      <w:r w:rsidRPr="00E9180A">
        <w:rPr>
          <w:color w:val="auto"/>
        </w:rPr>
        <w:tab/>
      </w:r>
      <w:r w:rsidRPr="00E9180A">
        <w:rPr>
          <w:color w:val="auto"/>
        </w:rPr>
        <w:tab/>
      </w:r>
      <w:r w:rsidRPr="00E9180A">
        <w:rPr>
          <w:color w:val="auto"/>
        </w:rPr>
        <w:tab/>
        <w:t xml:space="preserve">Seite </w:t>
      </w:r>
      <w:r w:rsidR="002F63C3" w:rsidRPr="00E9180A">
        <w:rPr>
          <w:color w:val="auto"/>
        </w:rPr>
        <w:t>4</w:t>
      </w:r>
    </w:p>
    <w:p w:rsidR="002D4509" w:rsidRPr="002F63C3" w:rsidRDefault="00637387" w:rsidP="002F63C3">
      <w:pPr>
        <w:spacing w:line="360" w:lineRule="auto"/>
        <w:ind w:left="708"/>
        <w:contextualSpacing/>
        <w:jc w:val="both"/>
      </w:pPr>
      <w:r>
        <w:rPr>
          <w:bCs/>
        </w:rPr>
        <w:tab/>
        <w:t xml:space="preserve"> </w:t>
      </w:r>
    </w:p>
    <w:p w:rsidR="002D4509" w:rsidRPr="00E50920" w:rsidRDefault="002D4509" w:rsidP="002D4509">
      <w:pPr>
        <w:pStyle w:val="Listenabsatz"/>
        <w:numPr>
          <w:ilvl w:val="0"/>
          <w:numId w:val="3"/>
        </w:numPr>
        <w:spacing w:line="360" w:lineRule="auto"/>
        <w:jc w:val="both"/>
        <w:rPr>
          <w:sz w:val="28"/>
          <w:szCs w:val="28"/>
          <w:lang w:val="de-DE" w:eastAsia="de-DE"/>
        </w:rPr>
      </w:pPr>
      <w:r w:rsidRPr="00A03787">
        <w:rPr>
          <w:sz w:val="28"/>
          <w:szCs w:val="28"/>
          <w:lang w:val="de-DE" w:eastAsia="de-DE"/>
        </w:rPr>
        <w:t>Empirischer Teil</w:t>
      </w:r>
      <w:r>
        <w:rPr>
          <w:sz w:val="28"/>
          <w:szCs w:val="28"/>
          <w:lang w:val="de-DE" w:eastAsia="de-DE"/>
        </w:rPr>
        <w:t xml:space="preserve"> </w:t>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bCs/>
          <w:sz w:val="28"/>
        </w:rPr>
        <w:t xml:space="preserve">Seite </w:t>
      </w:r>
      <w:r w:rsidR="00E9180A">
        <w:rPr>
          <w:bCs/>
          <w:sz w:val="28"/>
        </w:rPr>
        <w:t>5</w:t>
      </w:r>
    </w:p>
    <w:p w:rsidR="00E50920" w:rsidRPr="004D02FD" w:rsidRDefault="00E50920" w:rsidP="00E50920">
      <w:pPr>
        <w:pStyle w:val="Listenabsatz"/>
        <w:spacing w:line="360" w:lineRule="auto"/>
        <w:ind w:left="1080"/>
        <w:jc w:val="both"/>
        <w:rPr>
          <w:sz w:val="28"/>
          <w:szCs w:val="28"/>
          <w:lang w:val="de-DE" w:eastAsia="de-DE"/>
        </w:rPr>
      </w:pPr>
    </w:p>
    <w:p w:rsidR="002D4509" w:rsidRPr="00E50920" w:rsidRDefault="00637387" w:rsidP="002D4509">
      <w:pPr>
        <w:numPr>
          <w:ilvl w:val="0"/>
          <w:numId w:val="1"/>
        </w:numPr>
        <w:spacing w:line="360" w:lineRule="auto"/>
        <w:contextualSpacing/>
        <w:jc w:val="both"/>
        <w:rPr>
          <w:u w:val="single"/>
        </w:rPr>
      </w:pPr>
      <w:r>
        <w:rPr>
          <w:u w:val="single"/>
        </w:rPr>
        <w:t>Anfang</w:t>
      </w:r>
      <w:r w:rsidR="00E50920">
        <w:rPr>
          <w:u w:val="single"/>
        </w:rPr>
        <w:t xml:space="preserve"> und Ende im Vergleich</w:t>
      </w:r>
      <w:r w:rsidR="002D4509">
        <w:tab/>
      </w:r>
      <w:r w:rsidR="002D4509">
        <w:tab/>
      </w:r>
      <w:r w:rsidR="002D4509">
        <w:tab/>
      </w:r>
      <w:r w:rsidR="002D4509">
        <w:tab/>
      </w:r>
      <w:r w:rsidR="00D072F5">
        <w:rPr>
          <w:bCs/>
        </w:rPr>
        <w:t xml:space="preserve">Seite </w:t>
      </w:r>
      <w:r w:rsidR="00E9180A">
        <w:rPr>
          <w:bCs/>
        </w:rPr>
        <w:t>5</w:t>
      </w:r>
    </w:p>
    <w:p w:rsidR="00E50920" w:rsidRPr="00637387" w:rsidRDefault="00E50920" w:rsidP="00E50920">
      <w:pPr>
        <w:spacing w:line="360" w:lineRule="auto"/>
        <w:ind w:left="1410"/>
        <w:contextualSpacing/>
        <w:jc w:val="both"/>
        <w:rPr>
          <w:u w:val="single"/>
        </w:rPr>
      </w:pPr>
    </w:p>
    <w:p w:rsidR="00637387" w:rsidRDefault="00637387" w:rsidP="00637387">
      <w:pPr>
        <w:spacing w:line="360" w:lineRule="auto"/>
        <w:ind w:left="702" w:firstLine="708"/>
        <w:contextualSpacing/>
        <w:jc w:val="both"/>
      </w:pPr>
      <w:r>
        <w:t>1.1. Anfang</w:t>
      </w:r>
      <w:r w:rsidR="00E50920">
        <w:t xml:space="preserve"> und Ende im Roman</w:t>
      </w:r>
      <w:r w:rsidR="00E50920">
        <w:tab/>
      </w:r>
      <w:r w:rsidR="00E50920">
        <w:tab/>
      </w:r>
      <w:r w:rsidR="00E50920">
        <w:tab/>
      </w:r>
      <w:r>
        <w:tab/>
        <w:t xml:space="preserve">Seite </w:t>
      </w:r>
      <w:r w:rsidR="00E9180A">
        <w:t>5</w:t>
      </w:r>
    </w:p>
    <w:p w:rsidR="00743C32" w:rsidRDefault="00743C32" w:rsidP="00E50920">
      <w:pPr>
        <w:spacing w:line="360" w:lineRule="auto"/>
        <w:ind w:left="702" w:firstLine="708"/>
        <w:contextualSpacing/>
        <w:jc w:val="both"/>
      </w:pPr>
      <w:r>
        <w:t>1.2. Erzählform</w:t>
      </w:r>
      <w:r w:rsidR="00E25F05">
        <w:t>en von Patrick Süskind</w:t>
      </w:r>
      <w:r w:rsidR="00E25F05">
        <w:tab/>
      </w:r>
      <w:r w:rsidR="00E25F05">
        <w:tab/>
      </w:r>
      <w:r w:rsidR="00E25F05">
        <w:tab/>
        <w:t>Seite 7</w:t>
      </w:r>
    </w:p>
    <w:p w:rsidR="00E50920" w:rsidRDefault="00E50920" w:rsidP="00E50920">
      <w:pPr>
        <w:spacing w:line="360" w:lineRule="auto"/>
        <w:contextualSpacing/>
        <w:jc w:val="both"/>
      </w:pPr>
    </w:p>
    <w:p w:rsidR="002F63C3" w:rsidRDefault="00637387" w:rsidP="00E50920">
      <w:pPr>
        <w:spacing w:line="360" w:lineRule="auto"/>
        <w:ind w:left="702" w:firstLine="708"/>
        <w:contextualSpacing/>
        <w:jc w:val="both"/>
      </w:pPr>
      <w:r w:rsidRPr="00E50920">
        <w:t xml:space="preserve">1.2. Anfang </w:t>
      </w:r>
      <w:r w:rsidR="00E50920">
        <w:t>und Ende im Film</w:t>
      </w:r>
      <w:r w:rsidR="00E50920">
        <w:tab/>
      </w:r>
      <w:r w:rsidRPr="00E50920">
        <w:tab/>
      </w:r>
      <w:r w:rsidRPr="00E50920">
        <w:tab/>
      </w:r>
      <w:r w:rsidRPr="00E50920">
        <w:tab/>
        <w:t xml:space="preserve">Seite </w:t>
      </w:r>
      <w:r w:rsidR="00E25F05">
        <w:t>9</w:t>
      </w:r>
    </w:p>
    <w:p w:rsidR="00743C32" w:rsidRDefault="00743C32" w:rsidP="002F63C3">
      <w:pPr>
        <w:spacing w:line="360" w:lineRule="auto"/>
        <w:ind w:left="702" w:firstLine="708"/>
        <w:contextualSpacing/>
        <w:jc w:val="both"/>
      </w:pPr>
      <w:r>
        <w:t xml:space="preserve">1.4. </w:t>
      </w:r>
      <w:r w:rsidR="00E25F05">
        <w:t xml:space="preserve">Erzählformen </w:t>
      </w:r>
      <w:r>
        <w:t>von Tom Tykwer</w:t>
      </w:r>
      <w:r>
        <w:tab/>
      </w:r>
      <w:r>
        <w:tab/>
      </w:r>
      <w:r w:rsidR="00E25F05">
        <w:tab/>
      </w:r>
      <w:r w:rsidR="00E25F05">
        <w:tab/>
        <w:t>Seite 13</w:t>
      </w:r>
    </w:p>
    <w:p w:rsidR="00827562" w:rsidRPr="00637387" w:rsidRDefault="00827562" w:rsidP="00E50920">
      <w:pPr>
        <w:spacing w:line="360" w:lineRule="auto"/>
        <w:contextualSpacing/>
        <w:jc w:val="both"/>
      </w:pPr>
    </w:p>
    <w:p w:rsidR="002D4509" w:rsidRPr="00D072F5" w:rsidRDefault="00406437" w:rsidP="002D4509">
      <w:pPr>
        <w:numPr>
          <w:ilvl w:val="0"/>
          <w:numId w:val="1"/>
        </w:numPr>
        <w:spacing w:line="360" w:lineRule="auto"/>
        <w:contextualSpacing/>
        <w:jc w:val="both"/>
        <w:rPr>
          <w:u w:val="single"/>
        </w:rPr>
      </w:pPr>
      <w:r>
        <w:rPr>
          <w:u w:val="single"/>
        </w:rPr>
        <w:t>Der Erzähler</w:t>
      </w:r>
      <w:r>
        <w:tab/>
      </w:r>
      <w:r>
        <w:tab/>
      </w:r>
      <w:r>
        <w:tab/>
      </w:r>
      <w:r>
        <w:tab/>
      </w:r>
      <w:r w:rsidR="002D4509">
        <w:tab/>
      </w:r>
      <w:r w:rsidR="002D4509">
        <w:tab/>
      </w:r>
      <w:r w:rsidR="002D4509">
        <w:tab/>
      </w:r>
      <w:r w:rsidR="00D072F5">
        <w:rPr>
          <w:bCs/>
        </w:rPr>
        <w:t xml:space="preserve">Seite </w:t>
      </w:r>
      <w:r w:rsidR="00E9180A">
        <w:rPr>
          <w:bCs/>
        </w:rPr>
        <w:t>13</w:t>
      </w:r>
    </w:p>
    <w:p w:rsidR="00E9180A" w:rsidRPr="00827562" w:rsidRDefault="00827562" w:rsidP="00743C32">
      <w:pPr>
        <w:spacing w:line="360" w:lineRule="auto"/>
        <w:jc w:val="both"/>
      </w:pPr>
      <w:r w:rsidRPr="002F63C3">
        <w:rPr>
          <w:color w:val="FF0000"/>
        </w:rPr>
        <w:tab/>
      </w:r>
      <w:r w:rsidRPr="002F63C3">
        <w:rPr>
          <w:color w:val="FF0000"/>
        </w:rPr>
        <w:tab/>
      </w:r>
    </w:p>
    <w:p w:rsidR="00827562" w:rsidRDefault="00827562" w:rsidP="00E50920">
      <w:pPr>
        <w:spacing w:line="360" w:lineRule="auto"/>
        <w:contextualSpacing/>
        <w:jc w:val="both"/>
        <w:rPr>
          <w:u w:val="single"/>
        </w:rPr>
      </w:pPr>
    </w:p>
    <w:p w:rsidR="00E25F05" w:rsidRDefault="00E25F05" w:rsidP="002D4509">
      <w:pPr>
        <w:pStyle w:val="Listenabsatz"/>
        <w:numPr>
          <w:ilvl w:val="0"/>
          <w:numId w:val="3"/>
        </w:numPr>
        <w:spacing w:line="360" w:lineRule="auto"/>
        <w:jc w:val="both"/>
        <w:rPr>
          <w:color w:val="000000" w:themeColor="text1"/>
          <w:sz w:val="28"/>
          <w:szCs w:val="28"/>
          <w:lang w:val="de-DE" w:eastAsia="de-DE"/>
        </w:rPr>
      </w:pPr>
      <w:r>
        <w:rPr>
          <w:color w:val="000000" w:themeColor="text1"/>
          <w:sz w:val="28"/>
          <w:szCs w:val="28"/>
          <w:lang w:val="de-DE" w:eastAsia="de-DE"/>
        </w:rPr>
        <w:t>Fazit/Ausblick</w:t>
      </w:r>
      <w:r>
        <w:rPr>
          <w:color w:val="000000" w:themeColor="text1"/>
          <w:sz w:val="28"/>
          <w:szCs w:val="28"/>
          <w:lang w:val="de-DE" w:eastAsia="de-DE"/>
        </w:rPr>
        <w:tab/>
      </w:r>
      <w:r>
        <w:rPr>
          <w:color w:val="000000" w:themeColor="text1"/>
          <w:sz w:val="28"/>
          <w:szCs w:val="28"/>
          <w:lang w:val="de-DE" w:eastAsia="de-DE"/>
        </w:rPr>
        <w:tab/>
      </w:r>
      <w:r>
        <w:rPr>
          <w:color w:val="000000" w:themeColor="text1"/>
          <w:sz w:val="28"/>
          <w:szCs w:val="28"/>
          <w:lang w:val="de-DE" w:eastAsia="de-DE"/>
        </w:rPr>
        <w:tab/>
      </w:r>
      <w:r>
        <w:rPr>
          <w:color w:val="000000" w:themeColor="text1"/>
          <w:sz w:val="28"/>
          <w:szCs w:val="28"/>
          <w:lang w:val="de-DE" w:eastAsia="de-DE"/>
        </w:rPr>
        <w:tab/>
      </w:r>
      <w:r>
        <w:rPr>
          <w:color w:val="000000" w:themeColor="text1"/>
          <w:sz w:val="28"/>
          <w:szCs w:val="28"/>
          <w:lang w:val="de-DE" w:eastAsia="de-DE"/>
        </w:rPr>
        <w:tab/>
      </w:r>
      <w:r>
        <w:rPr>
          <w:color w:val="000000" w:themeColor="text1"/>
          <w:sz w:val="28"/>
          <w:szCs w:val="28"/>
          <w:lang w:val="de-DE" w:eastAsia="de-DE"/>
        </w:rPr>
        <w:tab/>
      </w:r>
      <w:r>
        <w:rPr>
          <w:color w:val="000000" w:themeColor="text1"/>
          <w:sz w:val="28"/>
          <w:szCs w:val="28"/>
          <w:lang w:val="de-DE" w:eastAsia="de-DE"/>
        </w:rPr>
        <w:tab/>
        <w:t>Seite 16</w:t>
      </w:r>
    </w:p>
    <w:p w:rsidR="002D4509" w:rsidRPr="00E50920" w:rsidRDefault="00827562" w:rsidP="002D4509">
      <w:pPr>
        <w:pStyle w:val="Listenabsatz"/>
        <w:numPr>
          <w:ilvl w:val="0"/>
          <w:numId w:val="3"/>
        </w:numPr>
        <w:spacing w:line="360" w:lineRule="auto"/>
        <w:jc w:val="both"/>
        <w:rPr>
          <w:color w:val="000000" w:themeColor="text1"/>
          <w:sz w:val="28"/>
          <w:szCs w:val="28"/>
          <w:lang w:val="de-DE" w:eastAsia="de-DE"/>
        </w:rPr>
      </w:pPr>
      <w:r w:rsidRPr="00E50920">
        <w:rPr>
          <w:color w:val="000000" w:themeColor="text1"/>
          <w:sz w:val="28"/>
          <w:szCs w:val="28"/>
          <w:lang w:val="de-DE" w:eastAsia="de-DE"/>
        </w:rPr>
        <w:t>Conclusio</w:t>
      </w:r>
      <w:r w:rsidRPr="00E50920">
        <w:rPr>
          <w:color w:val="000000" w:themeColor="text1"/>
          <w:sz w:val="28"/>
          <w:szCs w:val="28"/>
          <w:lang w:val="de-DE" w:eastAsia="de-DE"/>
        </w:rPr>
        <w:tab/>
      </w:r>
      <w:r w:rsidRPr="00E50920">
        <w:rPr>
          <w:color w:val="000000" w:themeColor="text1"/>
          <w:sz w:val="28"/>
          <w:szCs w:val="28"/>
          <w:lang w:val="de-DE" w:eastAsia="de-DE"/>
        </w:rPr>
        <w:tab/>
      </w:r>
      <w:r w:rsidRPr="00E50920">
        <w:rPr>
          <w:color w:val="000000" w:themeColor="text1"/>
          <w:sz w:val="28"/>
          <w:szCs w:val="28"/>
          <w:lang w:val="de-DE" w:eastAsia="de-DE"/>
        </w:rPr>
        <w:tab/>
      </w:r>
      <w:r w:rsidRPr="00E50920">
        <w:rPr>
          <w:color w:val="000000" w:themeColor="text1"/>
          <w:sz w:val="28"/>
          <w:szCs w:val="28"/>
          <w:lang w:val="de-DE" w:eastAsia="de-DE"/>
        </w:rPr>
        <w:tab/>
      </w:r>
      <w:r w:rsidRPr="00E50920">
        <w:rPr>
          <w:color w:val="000000" w:themeColor="text1"/>
          <w:sz w:val="28"/>
          <w:szCs w:val="28"/>
          <w:lang w:val="de-DE" w:eastAsia="de-DE"/>
        </w:rPr>
        <w:tab/>
      </w:r>
      <w:r w:rsidRPr="00E50920">
        <w:rPr>
          <w:color w:val="000000" w:themeColor="text1"/>
          <w:sz w:val="28"/>
          <w:szCs w:val="28"/>
          <w:lang w:val="de-DE" w:eastAsia="de-DE"/>
        </w:rPr>
        <w:tab/>
      </w:r>
      <w:r w:rsidRPr="00E50920">
        <w:rPr>
          <w:color w:val="000000" w:themeColor="text1"/>
          <w:sz w:val="28"/>
          <w:szCs w:val="28"/>
          <w:lang w:val="de-DE" w:eastAsia="de-DE"/>
        </w:rPr>
        <w:tab/>
        <w:t xml:space="preserve">Seite </w:t>
      </w:r>
      <w:r w:rsidR="00E25F05">
        <w:rPr>
          <w:color w:val="000000" w:themeColor="text1"/>
          <w:sz w:val="28"/>
          <w:szCs w:val="28"/>
          <w:lang w:val="de-DE" w:eastAsia="de-DE"/>
        </w:rPr>
        <w:t>17</w:t>
      </w:r>
    </w:p>
    <w:p w:rsidR="002D4509" w:rsidRPr="00E50920" w:rsidRDefault="002F63C3" w:rsidP="002D4509">
      <w:pPr>
        <w:pStyle w:val="Listenabsatz"/>
        <w:numPr>
          <w:ilvl w:val="0"/>
          <w:numId w:val="3"/>
        </w:numPr>
        <w:spacing w:line="360" w:lineRule="auto"/>
        <w:jc w:val="both"/>
        <w:rPr>
          <w:color w:val="000000" w:themeColor="text1"/>
          <w:sz w:val="28"/>
          <w:szCs w:val="28"/>
          <w:lang w:val="de-DE" w:eastAsia="de-DE"/>
        </w:rPr>
      </w:pPr>
      <w:r w:rsidRPr="00E50920">
        <w:rPr>
          <w:color w:val="000000" w:themeColor="text1"/>
          <w:sz w:val="28"/>
          <w:szCs w:val="28"/>
          <w:lang w:val="de-DE" w:eastAsia="de-DE"/>
        </w:rPr>
        <w:t>Quellenverzeichnis</w:t>
      </w:r>
      <w:r w:rsidR="00827562" w:rsidRPr="00E50920">
        <w:rPr>
          <w:color w:val="000000" w:themeColor="text1"/>
          <w:sz w:val="28"/>
          <w:szCs w:val="28"/>
          <w:lang w:val="de-DE" w:eastAsia="de-DE"/>
        </w:rPr>
        <w:tab/>
      </w:r>
      <w:r w:rsidR="00827562" w:rsidRPr="00E50920">
        <w:rPr>
          <w:color w:val="000000" w:themeColor="text1"/>
          <w:sz w:val="28"/>
          <w:szCs w:val="28"/>
          <w:lang w:val="de-DE" w:eastAsia="de-DE"/>
        </w:rPr>
        <w:tab/>
      </w:r>
      <w:r w:rsidR="00827562" w:rsidRPr="00E50920">
        <w:rPr>
          <w:color w:val="000000" w:themeColor="text1"/>
          <w:sz w:val="28"/>
          <w:szCs w:val="28"/>
          <w:lang w:val="de-DE" w:eastAsia="de-DE"/>
        </w:rPr>
        <w:tab/>
      </w:r>
      <w:r w:rsidR="00827562" w:rsidRPr="00E50920">
        <w:rPr>
          <w:color w:val="000000" w:themeColor="text1"/>
          <w:sz w:val="28"/>
          <w:szCs w:val="28"/>
          <w:lang w:val="de-DE" w:eastAsia="de-DE"/>
        </w:rPr>
        <w:tab/>
      </w:r>
      <w:r w:rsidR="00827562" w:rsidRPr="00E50920">
        <w:rPr>
          <w:color w:val="000000" w:themeColor="text1"/>
          <w:sz w:val="28"/>
          <w:szCs w:val="28"/>
          <w:lang w:val="de-DE" w:eastAsia="de-DE"/>
        </w:rPr>
        <w:tab/>
      </w:r>
      <w:r w:rsidR="00827562" w:rsidRPr="00E50920">
        <w:rPr>
          <w:color w:val="000000" w:themeColor="text1"/>
          <w:sz w:val="28"/>
          <w:szCs w:val="28"/>
          <w:lang w:val="de-DE" w:eastAsia="de-DE"/>
        </w:rPr>
        <w:tab/>
        <w:t xml:space="preserve">Seite </w:t>
      </w:r>
      <w:r w:rsidR="00E25F05">
        <w:rPr>
          <w:color w:val="000000" w:themeColor="text1"/>
          <w:sz w:val="28"/>
          <w:szCs w:val="28"/>
          <w:lang w:val="de-DE" w:eastAsia="de-DE"/>
        </w:rPr>
        <w:t>18</w:t>
      </w:r>
    </w:p>
    <w:p w:rsidR="002D4509" w:rsidRPr="00E50920" w:rsidRDefault="002D4509" w:rsidP="002F63C3">
      <w:pPr>
        <w:spacing w:line="360" w:lineRule="auto"/>
        <w:ind w:left="1410"/>
        <w:contextualSpacing/>
        <w:jc w:val="both"/>
        <w:rPr>
          <w:u w:val="single"/>
        </w:rPr>
      </w:pPr>
    </w:p>
    <w:p w:rsidR="00743C32" w:rsidRDefault="00743C32" w:rsidP="002F63C3">
      <w:pPr>
        <w:spacing w:line="360" w:lineRule="auto"/>
        <w:ind w:left="1410"/>
        <w:contextualSpacing/>
        <w:jc w:val="both"/>
        <w:rPr>
          <w:u w:val="single"/>
        </w:rPr>
      </w:pPr>
    </w:p>
    <w:p w:rsidR="00743C32" w:rsidRDefault="00743C32" w:rsidP="002F63C3">
      <w:pPr>
        <w:spacing w:line="360" w:lineRule="auto"/>
        <w:ind w:left="1410"/>
        <w:contextualSpacing/>
        <w:jc w:val="both"/>
        <w:rPr>
          <w:u w:val="single"/>
        </w:rPr>
      </w:pPr>
    </w:p>
    <w:p w:rsidR="00887EE3" w:rsidRDefault="00887EE3" w:rsidP="002F63C3">
      <w:pPr>
        <w:spacing w:line="360" w:lineRule="auto"/>
        <w:ind w:left="1410"/>
        <w:contextualSpacing/>
        <w:jc w:val="both"/>
        <w:rPr>
          <w:u w:val="single"/>
        </w:rPr>
      </w:pPr>
    </w:p>
    <w:p w:rsidR="00887EE3" w:rsidRDefault="00887EE3" w:rsidP="002F63C3">
      <w:pPr>
        <w:spacing w:line="360" w:lineRule="auto"/>
        <w:ind w:left="1410"/>
        <w:contextualSpacing/>
        <w:jc w:val="both"/>
        <w:rPr>
          <w:u w:val="single"/>
        </w:rPr>
      </w:pPr>
    </w:p>
    <w:p w:rsidR="00887EE3" w:rsidRDefault="00887EE3" w:rsidP="002F63C3">
      <w:pPr>
        <w:spacing w:line="360" w:lineRule="auto"/>
        <w:ind w:left="1410"/>
        <w:contextualSpacing/>
        <w:jc w:val="both"/>
        <w:rPr>
          <w:u w:val="single"/>
        </w:rPr>
      </w:pPr>
    </w:p>
    <w:p w:rsidR="00887EE3" w:rsidRDefault="00887EE3" w:rsidP="002F63C3">
      <w:pPr>
        <w:spacing w:line="360" w:lineRule="auto"/>
        <w:ind w:left="1410"/>
        <w:contextualSpacing/>
        <w:jc w:val="both"/>
        <w:rPr>
          <w:u w:val="single"/>
        </w:rPr>
      </w:pPr>
    </w:p>
    <w:p w:rsidR="00406437" w:rsidRDefault="00406437" w:rsidP="002D4509">
      <w:pPr>
        <w:spacing w:line="360" w:lineRule="auto"/>
        <w:contextualSpacing/>
        <w:jc w:val="both"/>
        <w:rPr>
          <w:u w:val="single"/>
        </w:rPr>
      </w:pPr>
    </w:p>
    <w:p w:rsidR="00637387" w:rsidRPr="00637387" w:rsidRDefault="00637387" w:rsidP="00637387">
      <w:pPr>
        <w:spacing w:line="360" w:lineRule="auto"/>
        <w:jc w:val="both"/>
        <w:rPr>
          <w:sz w:val="32"/>
          <w:szCs w:val="28"/>
          <w:lang w:eastAsia="de-DE"/>
        </w:rPr>
      </w:pPr>
      <w:r w:rsidRPr="00637387">
        <w:rPr>
          <w:sz w:val="32"/>
          <w:szCs w:val="28"/>
          <w:lang w:eastAsia="de-DE"/>
        </w:rPr>
        <w:t>I. Theoretischer Teil</w:t>
      </w:r>
      <w:r>
        <w:rPr>
          <w:sz w:val="32"/>
          <w:szCs w:val="28"/>
          <w:lang w:eastAsia="de-DE"/>
        </w:rPr>
        <w:t xml:space="preserve"> </w:t>
      </w:r>
    </w:p>
    <w:p w:rsidR="00637387" w:rsidRPr="00D90FE1" w:rsidRDefault="00637387" w:rsidP="00637387">
      <w:pPr>
        <w:spacing w:line="360" w:lineRule="auto"/>
        <w:jc w:val="both"/>
      </w:pPr>
    </w:p>
    <w:p w:rsidR="00637387" w:rsidRPr="00637387" w:rsidRDefault="00637387" w:rsidP="00637387">
      <w:pPr>
        <w:pStyle w:val="berschrift1"/>
        <w:numPr>
          <w:ilvl w:val="0"/>
          <w:numId w:val="6"/>
        </w:numPr>
        <w:spacing w:before="0" w:after="0" w:line="360" w:lineRule="auto"/>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Einleitung</w:t>
      </w:r>
    </w:p>
    <w:p w:rsidR="00E9180A" w:rsidRDefault="00E9180A" w:rsidP="00637387">
      <w:pPr>
        <w:spacing w:line="360" w:lineRule="auto"/>
        <w:jc w:val="both"/>
      </w:pPr>
    </w:p>
    <w:p w:rsidR="00637387" w:rsidRDefault="00637387" w:rsidP="00637387">
      <w:pPr>
        <w:spacing w:line="360" w:lineRule="auto"/>
        <w:jc w:val="both"/>
      </w:pPr>
      <w:r>
        <w:t xml:space="preserve">Im Jahre 1985 erschien der Roman </w:t>
      </w:r>
      <w:r w:rsidR="00AD6AC3">
        <w:rPr>
          <w:i/>
          <w:iCs/>
        </w:rPr>
        <w:t>Das Parfum</w:t>
      </w:r>
      <w:r>
        <w:t xml:space="preserve"> von Patrick Süskind. Von der Presse hoch </w:t>
      </w:r>
    </w:p>
    <w:p w:rsidR="00637387" w:rsidRDefault="00637387" w:rsidP="00637387">
      <w:pPr>
        <w:spacing w:line="360" w:lineRule="auto"/>
        <w:jc w:val="both"/>
      </w:pPr>
      <w:r>
        <w:t xml:space="preserve">gelobt, war er jahrelang auf Bestsellerlisten (nicht nur in Deutschland) zu finden. Er wurde in </w:t>
      </w:r>
    </w:p>
    <w:p w:rsidR="00637387" w:rsidRDefault="00637387" w:rsidP="00637387">
      <w:pPr>
        <w:spacing w:line="360" w:lineRule="auto"/>
        <w:jc w:val="both"/>
      </w:pPr>
      <w:r>
        <w:t>46 Sprachen übersetzt und mit über 15 Millionen Exemplaren verkauft.  Solch ein erfolgreiches Buch schrie förmlich danach verfilmt zu werden. Süskind wehrte sich lange Zeit sein Drehbuch frei zu geben.</w:t>
      </w:r>
      <w:r>
        <w:rPr>
          <w:b/>
        </w:rPr>
        <w:t xml:space="preserve"> </w:t>
      </w:r>
      <w:r>
        <w:t>Ridley Scott, Tim Burton, Steven Spielberg zeigten neben Bernd Eichinger Interesse an der Verfilmung. 2001 erhält Ei</w:t>
      </w:r>
      <w:r w:rsidR="00AD6AC3">
        <w:t xml:space="preserve">chinger endlich die Rechte an </w:t>
      </w:r>
      <w:r>
        <w:rPr>
          <w:i/>
          <w:iCs/>
        </w:rPr>
        <w:t>Das Parfum</w:t>
      </w:r>
      <w:r>
        <w:t xml:space="preserve">. Aufgrund der Beliebtheit des Romans, wurde die Verfilmung des Stoffes ungeduldig erwartet. </w:t>
      </w:r>
    </w:p>
    <w:p w:rsidR="00637387" w:rsidRDefault="00637387" w:rsidP="00637387">
      <w:pPr>
        <w:spacing w:line="360" w:lineRule="auto"/>
        <w:jc w:val="both"/>
        <w:rPr>
          <w:bCs/>
        </w:rPr>
      </w:pPr>
    </w:p>
    <w:p w:rsidR="00637387" w:rsidRPr="00D806DE" w:rsidRDefault="00637387" w:rsidP="00637387">
      <w:pPr>
        <w:numPr>
          <w:ilvl w:val="1"/>
          <w:numId w:val="7"/>
        </w:numPr>
        <w:spacing w:line="360" w:lineRule="auto"/>
        <w:ind w:firstLine="15"/>
        <w:jc w:val="both"/>
        <w:rPr>
          <w:bCs/>
          <w:u w:val="single"/>
        </w:rPr>
      </w:pPr>
      <w:r>
        <w:rPr>
          <w:bCs/>
          <w:u w:val="single"/>
          <w:shd w:val="clear" w:color="auto" w:fill="00FFFF"/>
        </w:rPr>
        <w:t>Literaturverfilmung</w:t>
      </w:r>
    </w:p>
    <w:p w:rsidR="00637387" w:rsidRDefault="00637387" w:rsidP="00637387">
      <w:pPr>
        <w:spacing w:line="360" w:lineRule="auto"/>
        <w:jc w:val="both"/>
      </w:pPr>
      <w:r>
        <w:t xml:space="preserve">Die Bezeichnung Literaturverfilmung hat in der Forschungsgeschichte schon immer Probleme hervorgerufen. Für die Analyse des Prozesses der Neubearbeitung von Literatur im Film werden die Termini </w:t>
      </w:r>
      <w:r>
        <w:rPr>
          <w:b/>
          <w:bCs/>
        </w:rPr>
        <w:t>Transformation</w:t>
      </w:r>
      <w:r>
        <w:t xml:space="preserve"> und </w:t>
      </w:r>
      <w:r>
        <w:rPr>
          <w:b/>
          <w:bCs/>
        </w:rPr>
        <w:t>Adaption</w:t>
      </w:r>
      <w:r>
        <w:t xml:space="preserve"> als gängige Ausdrücke verwendet.</w:t>
      </w:r>
      <w:r>
        <w:rPr>
          <w:rStyle w:val="Funotenzeichen"/>
        </w:rPr>
        <w:footnoteReference w:id="1"/>
      </w:r>
      <w:r>
        <w:t xml:space="preserve"> Man muss hier, so </w:t>
      </w:r>
      <w:proofErr w:type="spellStart"/>
      <w:r>
        <w:t>Albersmeier</w:t>
      </w:r>
      <w:proofErr w:type="spellEnd"/>
      <w:r>
        <w:t>, aber von „filmischen Adaptionen literarischer Texte“ sprechen.</w:t>
      </w:r>
      <w:r>
        <w:rPr>
          <w:rStyle w:val="Funotenzeichen"/>
        </w:rPr>
        <w:footnoteReference w:id="2"/>
      </w:r>
      <w:r>
        <w:t xml:space="preserve"> Boris Eichenbaum spricht in Bezug auf das Phänomen der Literaturverfilmung davon, dass dies keine Inszenierung oder Illustration sei, sondern „eine Übersetzung in ein anderes Medium, dem der Filmsprache“.</w:t>
      </w:r>
      <w:r>
        <w:rPr>
          <w:rStyle w:val="Funotenzeichen"/>
        </w:rPr>
        <w:footnoteReference w:id="3"/>
      </w:r>
      <w:r>
        <w:t xml:space="preserve"> Da sich aber Film- und Literatursprache in vielfacher Hinsicht unterscheiden, muss demgemäß eine adäquate Basis geschaffen werden, auf der man die literarische Vorlage mit der filmischen Neubearbeitung in Bezug setzen kann. </w:t>
      </w:r>
    </w:p>
    <w:p w:rsidR="00637387" w:rsidRDefault="00637387" w:rsidP="00637387">
      <w:pPr>
        <w:spacing w:line="360" w:lineRule="auto"/>
        <w:jc w:val="both"/>
        <w:rPr>
          <w:bCs/>
        </w:rPr>
      </w:pPr>
    </w:p>
    <w:p w:rsidR="00637387" w:rsidRPr="00D806DE" w:rsidRDefault="00637387" w:rsidP="00637387">
      <w:pPr>
        <w:numPr>
          <w:ilvl w:val="1"/>
          <w:numId w:val="7"/>
        </w:numPr>
        <w:spacing w:line="360" w:lineRule="auto"/>
        <w:ind w:firstLine="15"/>
        <w:jc w:val="both"/>
        <w:rPr>
          <w:bCs/>
          <w:u w:val="single"/>
        </w:rPr>
      </w:pPr>
      <w:r>
        <w:rPr>
          <w:bCs/>
          <w:u w:val="single"/>
          <w:shd w:val="clear" w:color="auto" w:fill="00FFFF"/>
        </w:rPr>
        <w:t>Differenz:</w:t>
      </w:r>
      <w:r>
        <w:rPr>
          <w:bCs/>
          <w:u w:val="single"/>
          <w:shd w:val="clear" w:color="auto" w:fill="00FFFF"/>
        </w:rPr>
        <w:tab/>
        <w:t xml:space="preserve"> Literatur und Film</w:t>
      </w:r>
    </w:p>
    <w:p w:rsidR="00637387" w:rsidRDefault="00637387" w:rsidP="00637387">
      <w:pPr>
        <w:spacing w:line="360" w:lineRule="auto"/>
        <w:jc w:val="both"/>
      </w:pPr>
      <w:r>
        <w:t xml:space="preserve">Die beiden auffälligsten Gemeinsamkeiten von Roman und Film sind nach Siegfried Kracauer das </w:t>
      </w:r>
      <w:r>
        <w:rPr>
          <w:b/>
          <w:bCs/>
        </w:rPr>
        <w:t>Streben nach Endlosigkeit</w:t>
      </w:r>
      <w:r>
        <w:t xml:space="preserve"> und nach der </w:t>
      </w:r>
      <w:r>
        <w:rPr>
          <w:b/>
          <w:bCs/>
        </w:rPr>
        <w:t>Darstellung des Lebens in seiner Fülle</w:t>
      </w:r>
      <w:r>
        <w:t xml:space="preserve">. </w:t>
      </w:r>
      <w:r>
        <w:rPr>
          <w:rStyle w:val="Funotenzeichen"/>
        </w:rPr>
        <w:footnoteReference w:id="4"/>
      </w:r>
      <w:r>
        <w:t xml:space="preserve"> Und diese zwei Kriterien machen den Roman als Vorlage für den Film so attraktiv. Jedoch müssen diese Medien unbedingt differenziert werden. Stützend auf Kracauers Theorie weist der Roman vier strukturelle Eigenschaften auf, die die Übertragung auf den Fil</w:t>
      </w:r>
      <w:r w:rsidR="00827562">
        <w:t xml:space="preserve">m schwierig </w:t>
      </w:r>
      <w:r w:rsidR="00827562">
        <w:lastRenderedPageBreak/>
        <w:t xml:space="preserve">gestalten. Da wären Zeit, Tempo, Raum und Gesichtswinkel.  </w:t>
      </w:r>
      <w:r>
        <w:t xml:space="preserve">Dem Film stehen im Hinblick auf die Darstellung der Zeit weniger Möglichkeiten offen als dem Roman. Auch das Innenleben der Figuren, ihre Gedanken und Gefühlsschwankungen können durch spezielle sprachliche Ausdrucksformen leichter dargestellt werden als auf Zelluloidstreifen. Ein weiteres zu überwindendes Hindernis stellt die Sprache dar. Die Sprache des Films unterscheidet sich von der Sprache der Literatur vor allem durch die Überlieferung mit Bildern, jene aber vermittelt ausschließlich </w:t>
      </w:r>
      <w:r w:rsidR="00AD6AC3">
        <w:t xml:space="preserve">mit Wörtern die Botschaft.  In </w:t>
      </w:r>
      <w:r>
        <w:rPr>
          <w:i/>
          <w:iCs/>
        </w:rPr>
        <w:t>Die Verfilmung Zweier Bestseller</w:t>
      </w:r>
      <w:r>
        <w:t xml:space="preserve"> spricht Katharina Florian ebenfalls dieses Thema an und betont die eigene filmsprachliche Struktur, die sich aus Bild, Sprache und Ton zusammensetzt. </w:t>
      </w:r>
      <w:r>
        <w:rPr>
          <w:rStyle w:val="Funotenzeichen"/>
        </w:rPr>
        <w:footnoteReference w:id="5"/>
      </w:r>
      <w:r>
        <w:t xml:space="preserve"> All diese Unterschiede und Schwierigkeiten müssen bei der Beschäftigung mit einer </w:t>
      </w:r>
      <w:r w:rsidR="00AD6AC3">
        <w:t xml:space="preserve">literarischen Adaption, wie es </w:t>
      </w:r>
      <w:r>
        <w:rPr>
          <w:i/>
          <w:iCs/>
        </w:rPr>
        <w:t>Das Parfum</w:t>
      </w:r>
      <w:r>
        <w:t xml:space="preserve"> von Tom Tykwer ist, berücksichtigt werden. </w:t>
      </w:r>
    </w:p>
    <w:p w:rsidR="002F63C3" w:rsidRPr="001E5A21" w:rsidRDefault="002F63C3" w:rsidP="00637387">
      <w:pPr>
        <w:spacing w:line="360" w:lineRule="auto"/>
        <w:jc w:val="both"/>
      </w:pPr>
    </w:p>
    <w:p w:rsidR="00637387" w:rsidRPr="00D806DE" w:rsidRDefault="00637387" w:rsidP="00637387">
      <w:pPr>
        <w:numPr>
          <w:ilvl w:val="1"/>
          <w:numId w:val="7"/>
        </w:numPr>
        <w:spacing w:line="360" w:lineRule="auto"/>
        <w:ind w:firstLine="15"/>
        <w:jc w:val="both"/>
        <w:rPr>
          <w:bCs/>
          <w:u w:val="single"/>
        </w:rPr>
      </w:pPr>
      <w:r>
        <w:rPr>
          <w:bCs/>
          <w:u w:val="single"/>
          <w:shd w:val="clear" w:color="auto" w:fill="00FFFF"/>
        </w:rPr>
        <w:t>Intermedialität</w:t>
      </w:r>
    </w:p>
    <w:p w:rsidR="00637387" w:rsidRPr="005B02DE" w:rsidRDefault="00637387" w:rsidP="00637387">
      <w:pPr>
        <w:spacing w:line="360" w:lineRule="auto"/>
        <w:jc w:val="both"/>
        <w:rPr>
          <w:bCs/>
        </w:rPr>
      </w:pPr>
      <w:r>
        <w:rPr>
          <w:bCs/>
        </w:rPr>
        <w:t>Erkenntnisse über die vielfältigen Relationen von Medien sind von entscheidender Bedeutung für die Erfassung von Strukturen und Funktionsweisen eines Medium, das immer in differenziertes Mediensystem eingebettet ist. So formuliert Silvia Kling die Einleitung zum Thema ‚Intermedialität als Forschungsgegenstand der Medienwissenschaft’ in ihrem We</w:t>
      </w:r>
      <w:r w:rsidR="00AD6AC3">
        <w:rPr>
          <w:bCs/>
        </w:rPr>
        <w:t xml:space="preserve">rk </w:t>
      </w:r>
      <w:proofErr w:type="spellStart"/>
      <w:r w:rsidRPr="001E5A21">
        <w:rPr>
          <w:bCs/>
          <w:i/>
        </w:rPr>
        <w:t>Filmologie</w:t>
      </w:r>
      <w:proofErr w:type="spellEnd"/>
      <w:r w:rsidRPr="001E5A21">
        <w:rPr>
          <w:bCs/>
          <w:i/>
        </w:rPr>
        <w:t xml:space="preserve"> und Intermedialität</w:t>
      </w:r>
      <w:r>
        <w:rPr>
          <w:bCs/>
        </w:rPr>
        <w:t>.</w:t>
      </w:r>
      <w:r>
        <w:rPr>
          <w:rStyle w:val="Funotenzeichen"/>
          <w:bCs/>
        </w:rPr>
        <w:footnoteReference w:id="6"/>
      </w:r>
      <w:r>
        <w:rPr>
          <w:bCs/>
        </w:rPr>
        <w:t xml:space="preserve"> In den folgenden Abschnitten möchte ich mich auf diese Niederschrift der Intermedialität beziehen.  Die verschiedenen Aspekte, die die Beziehungen zwischen den Medien definieren, versucht die Intermedialitätsforschung in Bezug auf Übergriffe der Einzelmedien zu erkunden. Thematisiert werden dabei konkret all jene Brüche und Wechselbeziehungen zwischen den Medien, die historische Formen und Gattungen verändern und neue intermediale Dispositive entwickeln.  Der bei medialen Beziehungen mit Interaktionen verschiedener Medien verbundene „</w:t>
      </w:r>
      <w:r w:rsidRPr="00AD6AC3">
        <w:rPr>
          <w:bCs/>
        </w:rPr>
        <w:t>Medienwechsel</w:t>
      </w:r>
      <w:r>
        <w:rPr>
          <w:bCs/>
        </w:rPr>
        <w:t>“ bildet, so Kling, häufig den Schwerpunkt bei der Diskussion intermedialer Prozesse (vgl. Texttransfer).</w:t>
      </w:r>
      <w:r>
        <w:rPr>
          <w:rStyle w:val="Funotenzeichen"/>
          <w:bCs/>
        </w:rPr>
        <w:footnoteReference w:id="7"/>
      </w:r>
      <w:r>
        <w:rPr>
          <w:bCs/>
        </w:rPr>
        <w:t xml:space="preserve"> Hier wird die Übertragung von Inhalten und Themen des einen Mediums in Repräsentationsformen anderer Zeichensysteme erkundet. Dazu vergleichend führe ich das Beispiel vom Übergang der Literatur zum Film an, wie es auch bei der folgenden Arbeit der Fall ist.  Hinsichtlich dieser Intermedialität ist bei einer Bezugnahme (Film- Literatur) von der Notwendigkeit der Übersetzung in das andere Medium auszugehen, um dort überhaupt „</w:t>
      </w:r>
      <w:r w:rsidRPr="00AD6AC3">
        <w:rPr>
          <w:bCs/>
        </w:rPr>
        <w:t>zitierfähig</w:t>
      </w:r>
      <w:r>
        <w:rPr>
          <w:bCs/>
        </w:rPr>
        <w:t>“ zu sein.</w:t>
      </w:r>
      <w:r>
        <w:rPr>
          <w:rStyle w:val="Funotenzeichen"/>
          <w:bCs/>
        </w:rPr>
        <w:footnoteReference w:id="8"/>
      </w:r>
      <w:r>
        <w:rPr>
          <w:bCs/>
        </w:rPr>
        <w:t xml:space="preserve"> Bei einer Literaturverfilmung wird deshalb nicht der Roman zum Film, sondern es wird eine </w:t>
      </w:r>
      <w:r>
        <w:rPr>
          <w:bCs/>
        </w:rPr>
        <w:lastRenderedPageBreak/>
        <w:t xml:space="preserve">literarische Geschichte entsprechend filmisch erzählt. Folglich existieren dann zwei </w:t>
      </w:r>
      <w:r w:rsidR="00AD6AC3">
        <w:rPr>
          <w:bCs/>
        </w:rPr>
        <w:t>verschieden mediale</w:t>
      </w:r>
      <w:r>
        <w:rPr>
          <w:bCs/>
        </w:rPr>
        <w:t xml:space="preserve"> Formen dieser Erzählung. Eben wegen diesem Unterschied der beiden Medien im Erzählen wird erst die Relation der Beiden möglich.  Intermediale Relationen charakterisieren demzufolge Formen der Reflexion von Medien in andere Medien. Bei einer derartigen intermedialen Analyse steht die Frage im Vordergrund, wie in einem Medium auf narrative Methoden oder formale Verfahren anderer Medien verwiesen wird und wie ein Medium in einem anderen realisiert, nachgeformt oder reflektiert wird. In Bezug auf Film und Li</w:t>
      </w:r>
      <w:r w:rsidR="00AD6AC3">
        <w:rPr>
          <w:bCs/>
        </w:rPr>
        <w:t xml:space="preserve">teratur führt Joachim </w:t>
      </w:r>
      <w:proofErr w:type="spellStart"/>
      <w:r w:rsidR="00AD6AC3">
        <w:rPr>
          <w:bCs/>
        </w:rPr>
        <w:t>Paech</w:t>
      </w:r>
      <w:proofErr w:type="spellEnd"/>
      <w:r w:rsidR="00AD6AC3">
        <w:rPr>
          <w:bCs/>
        </w:rPr>
        <w:t xml:space="preserve"> in </w:t>
      </w:r>
      <w:r w:rsidRPr="005B02DE">
        <w:rPr>
          <w:bCs/>
          <w:i/>
        </w:rPr>
        <w:t>Paradoxien</w:t>
      </w:r>
      <w:r>
        <w:rPr>
          <w:bCs/>
        </w:rPr>
        <w:t xml:space="preserve"> </w:t>
      </w:r>
      <w:r w:rsidRPr="005B02DE">
        <w:rPr>
          <w:bCs/>
          <w:i/>
        </w:rPr>
        <w:t>der Auflösung und Intermedialität</w:t>
      </w:r>
      <w:r>
        <w:rPr>
          <w:bCs/>
        </w:rPr>
        <w:t xml:space="preserve"> an, dass eine intermediale Beziehung nicht zwischen den „</w:t>
      </w:r>
      <w:r w:rsidRPr="00AD6AC3">
        <w:rPr>
          <w:bCs/>
        </w:rPr>
        <w:t>Medien ihrer Formen des Erzählens</w:t>
      </w:r>
      <w:r>
        <w:rPr>
          <w:bCs/>
        </w:rPr>
        <w:t>“, sondern vielmehr zwischen „</w:t>
      </w:r>
      <w:r w:rsidRPr="00AD6AC3">
        <w:rPr>
          <w:bCs/>
        </w:rPr>
        <w:t>Medien literarischen und filmischen Erzählens</w:t>
      </w:r>
      <w:r>
        <w:rPr>
          <w:bCs/>
        </w:rPr>
        <w:t>“ aufzubauen ist.</w:t>
      </w:r>
      <w:r>
        <w:rPr>
          <w:rStyle w:val="Funotenzeichen"/>
          <w:bCs/>
        </w:rPr>
        <w:footnoteReference w:id="9"/>
      </w:r>
      <w:r>
        <w:rPr>
          <w:bCs/>
        </w:rPr>
        <w:t xml:space="preserve">  Im Kommenden werde ich nun versuchen, einige Punkte der intermedialen Bezüge zwischen Romanvorlage und Verfilmung herausfiltern und vergleichen </w:t>
      </w:r>
      <w:r>
        <w:t xml:space="preserve">und auf Schwierigkeiten bei der Umsetzung des Buches eingehen (Darstellung der Gerüche, des Protagonisten usw.). </w:t>
      </w:r>
    </w:p>
    <w:p w:rsidR="00406437" w:rsidRDefault="00406437" w:rsidP="00637387">
      <w:pPr>
        <w:spacing w:line="360" w:lineRule="auto"/>
        <w:jc w:val="both"/>
        <w:rPr>
          <w:sz w:val="32"/>
          <w:szCs w:val="28"/>
          <w:lang w:eastAsia="de-DE"/>
        </w:rPr>
      </w:pPr>
    </w:p>
    <w:p w:rsidR="00637387" w:rsidRPr="00406437" w:rsidRDefault="00637387" w:rsidP="00637387">
      <w:pPr>
        <w:spacing w:line="360" w:lineRule="auto"/>
        <w:jc w:val="both"/>
        <w:rPr>
          <w:sz w:val="28"/>
          <w:szCs w:val="28"/>
          <w:lang w:eastAsia="de-DE"/>
        </w:rPr>
      </w:pPr>
      <w:r w:rsidRPr="00637387">
        <w:rPr>
          <w:sz w:val="32"/>
          <w:szCs w:val="28"/>
          <w:lang w:eastAsia="de-DE"/>
        </w:rPr>
        <w:t>I</w:t>
      </w:r>
      <w:r>
        <w:rPr>
          <w:sz w:val="32"/>
          <w:szCs w:val="28"/>
          <w:lang w:eastAsia="de-DE"/>
        </w:rPr>
        <w:t>I</w:t>
      </w:r>
      <w:r w:rsidRPr="00637387">
        <w:rPr>
          <w:sz w:val="32"/>
          <w:szCs w:val="28"/>
          <w:lang w:eastAsia="de-DE"/>
        </w:rPr>
        <w:t xml:space="preserve">. </w:t>
      </w:r>
      <w:r w:rsidR="00E25F05">
        <w:rPr>
          <w:sz w:val="32"/>
          <w:szCs w:val="28"/>
          <w:lang w:eastAsia="de-DE"/>
        </w:rPr>
        <w:t>Empirischer</w:t>
      </w:r>
      <w:r w:rsidRPr="00637387">
        <w:rPr>
          <w:sz w:val="32"/>
          <w:szCs w:val="28"/>
          <w:lang w:eastAsia="de-DE"/>
        </w:rPr>
        <w:t xml:space="preserve"> Teil</w:t>
      </w:r>
    </w:p>
    <w:p w:rsidR="00637387" w:rsidRDefault="00E50920" w:rsidP="00637387">
      <w:pPr>
        <w:numPr>
          <w:ilvl w:val="0"/>
          <w:numId w:val="9"/>
        </w:numPr>
        <w:spacing w:line="360" w:lineRule="auto"/>
        <w:jc w:val="both"/>
        <w:rPr>
          <w:sz w:val="28"/>
          <w:szCs w:val="28"/>
          <w:u w:val="single"/>
        </w:rPr>
      </w:pPr>
      <w:r>
        <w:rPr>
          <w:sz w:val="28"/>
          <w:szCs w:val="28"/>
          <w:u w:val="single"/>
        </w:rPr>
        <w:t>Anfang und Ende im Vergleich</w:t>
      </w:r>
    </w:p>
    <w:p w:rsidR="00637387" w:rsidRDefault="00637387" w:rsidP="00637387">
      <w:pPr>
        <w:spacing w:line="360" w:lineRule="auto"/>
        <w:jc w:val="both"/>
      </w:pPr>
    </w:p>
    <w:p w:rsidR="00637387" w:rsidRPr="00D806DE" w:rsidRDefault="00637387" w:rsidP="00637387">
      <w:pPr>
        <w:numPr>
          <w:ilvl w:val="1"/>
          <w:numId w:val="9"/>
        </w:numPr>
        <w:tabs>
          <w:tab w:val="clear" w:pos="1275"/>
          <w:tab w:val="num" w:pos="1440"/>
        </w:tabs>
        <w:spacing w:line="360" w:lineRule="auto"/>
        <w:jc w:val="both"/>
        <w:rPr>
          <w:u w:val="single"/>
        </w:rPr>
      </w:pPr>
      <w:r>
        <w:rPr>
          <w:u w:val="single"/>
          <w:shd w:val="clear" w:color="auto" w:fill="00FFFF"/>
        </w:rPr>
        <w:t xml:space="preserve">Anfang </w:t>
      </w:r>
      <w:r w:rsidR="00E50920">
        <w:rPr>
          <w:u w:val="single"/>
          <w:shd w:val="clear" w:color="auto" w:fill="00FFFF"/>
        </w:rPr>
        <w:t xml:space="preserve"> und Ende </w:t>
      </w:r>
      <w:r>
        <w:rPr>
          <w:u w:val="single"/>
          <w:shd w:val="clear" w:color="auto" w:fill="00FFFF"/>
        </w:rPr>
        <w:t xml:space="preserve">im </w:t>
      </w:r>
      <w:r w:rsidR="00827562">
        <w:rPr>
          <w:u w:val="single"/>
          <w:shd w:val="clear" w:color="auto" w:fill="00FFFF"/>
        </w:rPr>
        <w:t>Roman</w:t>
      </w:r>
    </w:p>
    <w:p w:rsidR="00637387" w:rsidRDefault="00637387" w:rsidP="00637387">
      <w:pPr>
        <w:spacing w:line="360" w:lineRule="auto"/>
        <w:jc w:val="both"/>
      </w:pPr>
      <w:r>
        <w:t xml:space="preserve">Süskind lässt seinen Roman mit der Beschreibung des Ortes beginnen, laut der sich der Leser </w:t>
      </w:r>
    </w:p>
    <w:p w:rsidR="00637387" w:rsidRDefault="00637387" w:rsidP="00637387">
      <w:pPr>
        <w:spacing w:line="360" w:lineRule="auto"/>
        <w:jc w:val="both"/>
      </w:pPr>
      <w:r>
        <w:t xml:space="preserve">im Frankreich des 18. Jahrhunderts befindet. Und genau an diesem Schauplatz spielte sich die </w:t>
      </w:r>
    </w:p>
    <w:p w:rsidR="00637387" w:rsidRDefault="00637387" w:rsidP="00637387">
      <w:pPr>
        <w:spacing w:line="360" w:lineRule="auto"/>
        <w:jc w:val="both"/>
      </w:pPr>
      <w:r>
        <w:t xml:space="preserve">Geschichte des Jean-Baptiste Grenouille ab, der gleich zu Beginn eingeführt wird als eines </w:t>
      </w:r>
    </w:p>
    <w:p w:rsidR="00637387" w:rsidRDefault="00637387" w:rsidP="00637387">
      <w:pPr>
        <w:spacing w:line="360" w:lineRule="auto"/>
        <w:jc w:val="both"/>
      </w:pPr>
      <w:r>
        <w:t xml:space="preserve">der genialen Scheusale dieser Zeit. Vergessen geraten sei seine Name nur, weil er keine </w:t>
      </w:r>
    </w:p>
    <w:p w:rsidR="00637387" w:rsidRDefault="00637387" w:rsidP="00637387">
      <w:pPr>
        <w:spacing w:line="360" w:lineRule="auto"/>
        <w:jc w:val="both"/>
      </w:pPr>
      <w:r>
        <w:t>Spuren hinterlassen habe, da dieser sich mit dem flüchtigen ,,</w:t>
      </w:r>
      <w:r w:rsidR="00AD6AC3">
        <w:rPr>
          <w:iCs/>
        </w:rPr>
        <w:t>Reich der Gerüch</w:t>
      </w:r>
      <w:r w:rsidR="00AD6AC3">
        <w:t>e“</w:t>
      </w:r>
      <w:r>
        <w:t xml:space="preserve"> befasst </w:t>
      </w:r>
    </w:p>
    <w:p w:rsidR="00637387" w:rsidRDefault="00637387" w:rsidP="00637387">
      <w:pPr>
        <w:spacing w:line="360" w:lineRule="auto"/>
        <w:jc w:val="both"/>
      </w:pPr>
      <w:r>
        <w:t>habe.</w:t>
      </w:r>
      <w:r>
        <w:rPr>
          <w:rStyle w:val="Funotenzeichen"/>
        </w:rPr>
        <w:footnoteReference w:id="10"/>
      </w:r>
      <w:r>
        <w:t xml:space="preserve">  Nachdem der Erzähler dies geklärt hat, lässt er eine ausführliche sowohl bildliche als auch  olfaktorische Beschreibungen des Paris′ in beschriebener Zeit folgen. </w:t>
      </w:r>
    </w:p>
    <w:p w:rsidR="00637387" w:rsidRDefault="00637387" w:rsidP="00637387">
      <w:pPr>
        <w:spacing w:line="360" w:lineRule="auto"/>
        <w:ind w:left="540"/>
        <w:jc w:val="both"/>
      </w:pPr>
      <w:r w:rsidRPr="00E25F05">
        <w:rPr>
          <w:sz w:val="22"/>
        </w:rPr>
        <w:t xml:space="preserve">„Zu der Zeit, von der wir reden, herrschte in den Städten ein für uns moderne Menschen kaum vorstellbarer Gestank. Es stanken die Straßen nach Mist, es stanken die Hinterhöfe nach Urin, es stanken die Treppenhäuser nach fauligem Holz und nach Rattendreck; [...] Und natürlich war in Paris der Gestank am größten, denn Paris war die größte Stadt Frankreichs.“ </w:t>
      </w:r>
      <w:r>
        <w:rPr>
          <w:rStyle w:val="Funotenzeichen"/>
        </w:rPr>
        <w:footnoteReference w:id="11"/>
      </w:r>
    </w:p>
    <w:p w:rsidR="00637387" w:rsidRDefault="00637387" w:rsidP="00637387">
      <w:pPr>
        <w:spacing w:line="360" w:lineRule="auto"/>
        <w:jc w:val="both"/>
      </w:pPr>
    </w:p>
    <w:p w:rsidR="00637387" w:rsidRDefault="00637387" w:rsidP="00637387">
      <w:pPr>
        <w:spacing w:line="360" w:lineRule="auto"/>
        <w:jc w:val="both"/>
      </w:pPr>
      <w:r>
        <w:lastRenderedPageBreak/>
        <w:t>Somit lässt sich der Anfang des ersten Kapitels des Buches als Vorgeschichte und Ouvertüre zugleich charakterisieren.</w:t>
      </w:r>
      <w:r>
        <w:rPr>
          <w:rStyle w:val="Funotenzeichen"/>
        </w:rPr>
        <w:footnoteReference w:id="12"/>
      </w:r>
      <w:r>
        <w:t xml:space="preserve"> Filmphilologisch gesehen, verwendet der Erzähler hier zur Einführung eine Totale, die auf  jenes Land gerichtet ist, um danach mit dem </w:t>
      </w:r>
      <w:proofErr w:type="spellStart"/>
      <w:r>
        <w:t>Zooming</w:t>
      </w:r>
      <w:proofErr w:type="spellEnd"/>
      <w:r>
        <w:t xml:space="preserve"> zu beginnen. </w:t>
      </w:r>
      <w:r>
        <w:rPr>
          <w:rStyle w:val="Funotenzeichen"/>
        </w:rPr>
        <w:footnoteReference w:id="13"/>
      </w:r>
      <w:r>
        <w:t xml:space="preserve">Als Erstes wird somit der Handlungsort eingegrenzt, bevor die Kamera nun ein einzelnes Motiv näher heranholt und es genauer schildert, sodass sich der Leser mit einem Mal mitten im Gestank vom Pariser Markt befindet. </w:t>
      </w:r>
    </w:p>
    <w:p w:rsidR="00637387" w:rsidRPr="00E25F05" w:rsidRDefault="00637387" w:rsidP="00637387">
      <w:pPr>
        <w:spacing w:line="360" w:lineRule="auto"/>
        <w:ind w:left="540"/>
        <w:jc w:val="both"/>
        <w:rPr>
          <w:sz w:val="22"/>
        </w:rPr>
      </w:pPr>
      <w:r w:rsidRPr="00E25F05">
        <w:rPr>
          <w:sz w:val="22"/>
        </w:rPr>
        <w:t xml:space="preserve">„Und innerhalb von Paris wiederum gab es einen Ort, an dem der Gestank ganz besonders infernalisch herrschte, zwischen der Rue </w:t>
      </w:r>
      <w:proofErr w:type="spellStart"/>
      <w:r w:rsidRPr="00E25F05">
        <w:rPr>
          <w:sz w:val="22"/>
        </w:rPr>
        <w:t>aux</w:t>
      </w:r>
      <w:proofErr w:type="spellEnd"/>
      <w:r w:rsidRPr="00E25F05">
        <w:rPr>
          <w:sz w:val="22"/>
        </w:rPr>
        <w:t xml:space="preserve"> </w:t>
      </w:r>
      <w:proofErr w:type="spellStart"/>
      <w:r w:rsidRPr="00E25F05">
        <w:rPr>
          <w:sz w:val="22"/>
        </w:rPr>
        <w:t>Fers</w:t>
      </w:r>
      <w:proofErr w:type="spellEnd"/>
      <w:r w:rsidRPr="00E25F05">
        <w:rPr>
          <w:sz w:val="22"/>
        </w:rPr>
        <w:t xml:space="preserve"> und der Rue de la </w:t>
      </w:r>
      <w:proofErr w:type="spellStart"/>
      <w:r w:rsidRPr="00E25F05">
        <w:rPr>
          <w:sz w:val="22"/>
        </w:rPr>
        <w:t>Ferronnerie</w:t>
      </w:r>
      <w:proofErr w:type="spellEnd"/>
      <w:r w:rsidRPr="00E25F05">
        <w:rPr>
          <w:sz w:val="22"/>
        </w:rPr>
        <w:t xml:space="preserve">, nämlich den </w:t>
      </w:r>
      <w:proofErr w:type="spellStart"/>
      <w:r w:rsidRPr="00E25F05">
        <w:rPr>
          <w:sz w:val="22"/>
        </w:rPr>
        <w:t>Cimetière</w:t>
      </w:r>
      <w:proofErr w:type="spellEnd"/>
      <w:r w:rsidRPr="00E25F05">
        <w:rPr>
          <w:sz w:val="22"/>
        </w:rPr>
        <w:t xml:space="preserve"> des </w:t>
      </w:r>
      <w:proofErr w:type="spellStart"/>
      <w:r w:rsidRPr="00E25F05">
        <w:rPr>
          <w:sz w:val="22"/>
        </w:rPr>
        <w:t>Innocents</w:t>
      </w:r>
      <w:proofErr w:type="spellEnd"/>
      <w:r w:rsidRPr="00E25F05">
        <w:rPr>
          <w:sz w:val="22"/>
        </w:rPr>
        <w:t>.“</w:t>
      </w:r>
      <w:r w:rsidRPr="00E25F05">
        <w:rPr>
          <w:rStyle w:val="Funotenzeichen"/>
          <w:sz w:val="22"/>
        </w:rPr>
        <w:footnoteReference w:id="14"/>
      </w:r>
    </w:p>
    <w:p w:rsidR="00637387" w:rsidRDefault="00637387" w:rsidP="00637387">
      <w:pPr>
        <w:spacing w:line="360" w:lineRule="auto"/>
        <w:jc w:val="both"/>
      </w:pPr>
    </w:p>
    <w:p w:rsidR="00E50920" w:rsidRDefault="00637387" w:rsidP="00E50920">
      <w:pPr>
        <w:spacing w:line="360" w:lineRule="auto"/>
        <w:jc w:val="both"/>
      </w:pPr>
      <w:r>
        <w:t>Ist dieser Teil abgeschlossen, kehrt der Erzähler wieder zur Hauptfigur seiner Erzählung zurück, genauer gesagt zu dessen Geburt und den Folgen davon, so dass die Geschichte bereits ihren Lauf nimmt.</w:t>
      </w:r>
      <w:r w:rsidR="00E9180A">
        <w:t xml:space="preserve"> </w:t>
      </w:r>
      <w:r w:rsidRPr="00D806DE">
        <w:t xml:space="preserve">„Hier nun, am allerstinkendsten Ort des gesamten Königreichs, wurde am 17. Juli 1738 Jean-Baptiste Grenouille geboren.“ </w:t>
      </w:r>
      <w:r w:rsidRPr="00D806DE">
        <w:rPr>
          <w:rStyle w:val="Funotenzeichen"/>
        </w:rPr>
        <w:footnoteReference w:id="15"/>
      </w:r>
      <w:r w:rsidR="00E50920">
        <w:t xml:space="preserve"> </w:t>
      </w:r>
      <w:r w:rsidR="00700BD7">
        <w:t xml:space="preserve">Wulf spricht hier von </w:t>
      </w:r>
      <w:proofErr w:type="spellStart"/>
      <w:r w:rsidR="00700BD7">
        <w:t>Kataphern</w:t>
      </w:r>
      <w:proofErr w:type="spellEnd"/>
      <w:r w:rsidR="00700BD7">
        <w:t>, also vorweisenden Hinweisen, die auf ein zukünftiges Objekt verweisen. Es werden also vorher Hinweise auf die Person gegeben, und erst dann wird diese Figur genannt. Ebenso verfährt Süskind, wenn er die Umgebung und einige Charakteristika (Scheusal) von Grenouille beschreibt und erst dann Grenouilles Namen n</w:t>
      </w:r>
      <w:r w:rsidR="00E50920">
        <w:t xml:space="preserve">ennt. </w:t>
      </w:r>
    </w:p>
    <w:p w:rsidR="00E50920" w:rsidRDefault="00E50920" w:rsidP="00406437">
      <w:pPr>
        <w:tabs>
          <w:tab w:val="left" w:pos="2200"/>
        </w:tabs>
        <w:spacing w:line="360" w:lineRule="auto"/>
        <w:jc w:val="both"/>
      </w:pPr>
    </w:p>
    <w:p w:rsidR="00E50920" w:rsidRDefault="00E50920" w:rsidP="00E50920">
      <w:pPr>
        <w:spacing w:line="360" w:lineRule="auto"/>
        <w:jc w:val="both"/>
      </w:pPr>
      <w:r>
        <w:t xml:space="preserve">Rainer Scherf beschreibt in seinem Werk </w:t>
      </w:r>
      <w:r>
        <w:rPr>
          <w:i/>
        </w:rPr>
        <w:t>Der verführte Leser</w:t>
      </w:r>
      <w:r>
        <w:t xml:space="preserve"> Grenouille als Diktator, der auf dem Höhepunkt seiner Machtmittel und am Beginn seiner Macht in einem Selbstopfer abdankt.</w:t>
      </w:r>
      <w:r>
        <w:rPr>
          <w:rStyle w:val="Funotenzeichen"/>
        </w:rPr>
        <w:footnoteReference w:id="16"/>
      </w:r>
      <w:r>
        <w:t xml:space="preserve"> Der Roman ist in 3 große Teile und einen verschwindend kleinen 4ten Teil gegliedert. Dadurch soll ein an dieser Stelle platziertes Abbrechen der Geschichte betont werden (vgl. Tod Grenouilles). Durch Grenouilles Suizid, den er durch die kannibalische Wirkung des Parfums auf die Verbrecher begeht, verduftet er im wörtlichen Sinne mit Haut und Haaren. Auf diese Weise bewahrheitet sich, was zu Beginn in einer Voraussage angedeutet wurde, nämlich dass er trotz seiner Genialität und Abscheulichkeit in der Geschichte keine Spuren hinterlässt (vgl. Süskind, S.5).  Die Zerstückelung Grenouilles wird hier als einmaliger Akt der Tilgung dargestellt. Sowohl seine parfumreichen Werke als auch seine Person selbst haben sich aufgelöst, anstatt dauerhafte Eindrücke in der Geschichte oder dem Gedächtnis seiner Mitmenschen zu hinterlassen.  Grenouille hat sich durch sein Parfum </w:t>
      </w:r>
      <w:r>
        <w:lastRenderedPageBreak/>
        <w:t>in die Lage gebracht, den Prozess des Riechens durch eine körperliche Handlung zu ersetzen. Es ist nicht mehr sein Geruch, der seine Existenz anzeigt, sondern sein Körper selbst wird zum Zeichen für seine Person.</w:t>
      </w:r>
      <w:r>
        <w:rPr>
          <w:rStyle w:val="Funotenzeichen"/>
        </w:rPr>
        <w:footnoteReference w:id="17"/>
      </w:r>
      <w:r>
        <w:t xml:space="preserve"> Zwar reichten die visuellen Signale seines Körpers nicht aus, um von seiner Umwelt zur Kenntnis genommen zu werden, aber zum Schluss ersetzt sein Fleisch, sein mit dem perfekten Parfum übergossener Körper den fehlenden Eigengeruch.  Indem er seinen Körper mit dem Duft der 25 Jungfrauen überschüttet, verzichtet er nicht nur auf die Weltherrschaft, sondern auch auf sein Leben.</w:t>
      </w:r>
    </w:p>
    <w:p w:rsidR="00E50920" w:rsidRPr="00E25F05" w:rsidRDefault="00E50920" w:rsidP="00E50920">
      <w:pPr>
        <w:spacing w:line="360" w:lineRule="auto"/>
        <w:ind w:left="540"/>
        <w:jc w:val="both"/>
        <w:rPr>
          <w:sz w:val="22"/>
        </w:rPr>
      </w:pPr>
      <w:r w:rsidRPr="00E25F05">
        <w:rPr>
          <w:sz w:val="22"/>
        </w:rPr>
        <w:t>„Und mochte er auch von der Welt durch sein Parfum erscheinen als ein Gott – wenn er sich selbst nicht riechen konnte, […] so pfiff er drauf, auf die Welt, auf sich selbst, auf sein Parfum.“</w:t>
      </w:r>
      <w:r w:rsidRPr="00E25F05">
        <w:rPr>
          <w:rStyle w:val="Funotenzeichen"/>
          <w:sz w:val="22"/>
        </w:rPr>
        <w:footnoteReference w:id="18"/>
      </w:r>
    </w:p>
    <w:p w:rsidR="00E50920" w:rsidRDefault="00E50920" w:rsidP="00E50920">
      <w:pPr>
        <w:spacing w:line="360" w:lineRule="auto"/>
        <w:jc w:val="both"/>
      </w:pPr>
    </w:p>
    <w:p w:rsidR="00E50920" w:rsidRDefault="00E50920" w:rsidP="00E50920">
      <w:pPr>
        <w:spacing w:line="360" w:lineRule="auto"/>
        <w:jc w:val="both"/>
      </w:pPr>
      <w:r>
        <w:t>Der Schlusssatz „</w:t>
      </w:r>
      <w:r w:rsidRPr="002742F2">
        <w:rPr>
          <w:iCs/>
        </w:rPr>
        <w:t>Sie hatten zum ersten Mal etwas aus Liebe getan</w:t>
      </w:r>
      <w:r w:rsidRPr="002742F2">
        <w:t>.</w:t>
      </w:r>
      <w:r>
        <w:t xml:space="preserve">“ Markiert zugleich das eigentliche Ziel Grenouilles. Er wollte nur einmal von seinen Mitmenschen geliebt werden. Anders ausgedrückt, zielte Grenouille auf die Erschaffung eines Duftes, durch den er sich die Gefühle der Menschen Untertan machen konnte. Und so wurde schlussendlich aus dem geruchlosen Scheusal durch die Maske des absoluten Liebesduftes für kurze Zeit ein geliebter Gott. </w:t>
      </w:r>
    </w:p>
    <w:p w:rsidR="00E50920" w:rsidRPr="00E25F05" w:rsidRDefault="00E50920" w:rsidP="00E50920">
      <w:pPr>
        <w:spacing w:line="360" w:lineRule="auto"/>
        <w:ind w:left="540"/>
        <w:jc w:val="both"/>
        <w:rPr>
          <w:iCs/>
          <w:sz w:val="22"/>
        </w:rPr>
      </w:pPr>
      <w:r w:rsidRPr="00E25F05">
        <w:rPr>
          <w:iCs/>
          <w:sz w:val="22"/>
        </w:rPr>
        <w:t xml:space="preserve">„Ja, lieben sollten sie ihn, wenn sie im Banne seines Duftes standen, nicht nur ihn als ihresgleichen akzeptieren, ihn lieben bis zum Wahnsinn [...], ohne zu wissen, warum, [...] wenn sie nur </w:t>
      </w:r>
      <w:r w:rsidRPr="00E25F05">
        <w:rPr>
          <w:sz w:val="22"/>
        </w:rPr>
        <w:t>ihn</w:t>
      </w:r>
      <w:r w:rsidRPr="00E25F05">
        <w:rPr>
          <w:iCs/>
          <w:sz w:val="22"/>
        </w:rPr>
        <w:t>, Grenouille, zu riechen bekommen.“</w:t>
      </w:r>
      <w:r w:rsidRPr="00E25F05">
        <w:rPr>
          <w:rStyle w:val="Funotenzeichen"/>
          <w:iCs/>
          <w:sz w:val="22"/>
        </w:rPr>
        <w:footnoteReference w:id="19"/>
      </w:r>
      <w:r w:rsidRPr="00E25F05">
        <w:rPr>
          <w:iCs/>
          <w:sz w:val="22"/>
        </w:rPr>
        <w:t xml:space="preserve"> </w:t>
      </w:r>
    </w:p>
    <w:p w:rsidR="00E9180A" w:rsidRDefault="00E50920" w:rsidP="00E50920">
      <w:pPr>
        <w:tabs>
          <w:tab w:val="left" w:pos="3720"/>
        </w:tabs>
        <w:spacing w:line="360" w:lineRule="auto"/>
        <w:jc w:val="both"/>
      </w:pPr>
      <w:r>
        <w:tab/>
      </w:r>
      <w:r w:rsidR="00406437">
        <w:tab/>
      </w:r>
    </w:p>
    <w:p w:rsidR="00C4479D" w:rsidRDefault="00C4479D" w:rsidP="00E50920">
      <w:pPr>
        <w:tabs>
          <w:tab w:val="left" w:pos="3720"/>
        </w:tabs>
        <w:spacing w:line="360" w:lineRule="auto"/>
        <w:jc w:val="both"/>
      </w:pPr>
    </w:p>
    <w:p w:rsidR="00406437" w:rsidRPr="00743C32" w:rsidRDefault="00406437" w:rsidP="00406437">
      <w:pPr>
        <w:numPr>
          <w:ilvl w:val="1"/>
          <w:numId w:val="9"/>
        </w:numPr>
        <w:tabs>
          <w:tab w:val="clear" w:pos="1275"/>
          <w:tab w:val="num" w:pos="1440"/>
        </w:tabs>
        <w:spacing w:line="360" w:lineRule="auto"/>
        <w:jc w:val="both"/>
        <w:rPr>
          <w:u w:val="single"/>
        </w:rPr>
      </w:pPr>
      <w:r w:rsidRPr="00743C32">
        <w:rPr>
          <w:u w:val="single"/>
          <w:shd w:val="clear" w:color="auto" w:fill="00FFFF"/>
        </w:rPr>
        <w:t>Erzählform</w:t>
      </w:r>
      <w:r w:rsidR="00E25F05">
        <w:rPr>
          <w:u w:val="single"/>
          <w:shd w:val="clear" w:color="auto" w:fill="00FFFF"/>
        </w:rPr>
        <w:t>en</w:t>
      </w:r>
      <w:r w:rsidRPr="00743C32">
        <w:rPr>
          <w:u w:val="single"/>
          <w:shd w:val="clear" w:color="auto" w:fill="00FFFF"/>
        </w:rPr>
        <w:t xml:space="preserve"> von Patrick Süskind</w:t>
      </w:r>
    </w:p>
    <w:p w:rsidR="00406437" w:rsidRPr="00406437" w:rsidRDefault="00406437" w:rsidP="00406437">
      <w:pPr>
        <w:autoSpaceDE w:val="0"/>
        <w:autoSpaceDN w:val="0"/>
        <w:adjustRightInd w:val="0"/>
        <w:spacing w:line="360" w:lineRule="auto"/>
        <w:rPr>
          <w:rFonts w:cs="Times New Roman"/>
          <w:iCs/>
          <w:szCs w:val="24"/>
        </w:rPr>
      </w:pPr>
      <w:r w:rsidRPr="00406437">
        <w:rPr>
          <w:rFonts w:cs="Times New Roman"/>
          <w:szCs w:val="24"/>
        </w:rPr>
        <w:t>Schon mit dem ersten Satz „</w:t>
      </w:r>
      <w:r w:rsidRPr="00406437">
        <w:rPr>
          <w:rFonts w:cs="Times New Roman"/>
          <w:iCs/>
          <w:szCs w:val="24"/>
        </w:rPr>
        <w:t>Im achtzehnten Jahrhundert lebte in Frankreich ein Mann, der zu</w:t>
      </w:r>
    </w:p>
    <w:p w:rsidR="00406437" w:rsidRPr="00406437" w:rsidRDefault="00406437" w:rsidP="00406437">
      <w:pPr>
        <w:autoSpaceDE w:val="0"/>
        <w:autoSpaceDN w:val="0"/>
        <w:adjustRightInd w:val="0"/>
        <w:spacing w:line="360" w:lineRule="auto"/>
        <w:rPr>
          <w:rFonts w:cs="Times New Roman"/>
          <w:iCs/>
          <w:szCs w:val="24"/>
        </w:rPr>
      </w:pPr>
      <w:r w:rsidRPr="00406437">
        <w:rPr>
          <w:rFonts w:cs="Times New Roman"/>
          <w:iCs/>
          <w:szCs w:val="24"/>
        </w:rPr>
        <w:t>den genialsten und abscheulichsten Gestalten dieser an genialen und abscheulichen</w:t>
      </w:r>
    </w:p>
    <w:p w:rsidR="00406437" w:rsidRPr="00406437" w:rsidRDefault="00406437" w:rsidP="00406437">
      <w:pPr>
        <w:autoSpaceDE w:val="0"/>
        <w:autoSpaceDN w:val="0"/>
        <w:adjustRightInd w:val="0"/>
        <w:spacing w:line="360" w:lineRule="auto"/>
        <w:rPr>
          <w:rFonts w:cs="Times New Roman"/>
          <w:szCs w:val="24"/>
        </w:rPr>
      </w:pPr>
      <w:r w:rsidRPr="00406437">
        <w:rPr>
          <w:rFonts w:cs="Times New Roman"/>
          <w:iCs/>
          <w:szCs w:val="24"/>
        </w:rPr>
        <w:t xml:space="preserve">Gestalten nicht </w:t>
      </w:r>
      <w:proofErr w:type="gramStart"/>
      <w:r w:rsidRPr="00406437">
        <w:rPr>
          <w:rFonts w:cs="Times New Roman"/>
          <w:iCs/>
          <w:szCs w:val="24"/>
        </w:rPr>
        <w:t>armen</w:t>
      </w:r>
      <w:proofErr w:type="gramEnd"/>
      <w:r w:rsidRPr="00406437">
        <w:rPr>
          <w:rFonts w:cs="Times New Roman"/>
          <w:iCs/>
          <w:szCs w:val="24"/>
        </w:rPr>
        <w:t xml:space="preserve"> Epoche gehörte</w:t>
      </w:r>
      <w:r w:rsidRPr="00406437">
        <w:rPr>
          <w:rFonts w:cs="Times New Roman"/>
          <w:i/>
          <w:iCs/>
          <w:szCs w:val="24"/>
        </w:rPr>
        <w:t xml:space="preserve">“ </w:t>
      </w:r>
      <w:r w:rsidRPr="00406437">
        <w:rPr>
          <w:rFonts w:cs="Times New Roman"/>
          <w:szCs w:val="24"/>
        </w:rPr>
        <w:t>schafft der Autor eine Distanz</w:t>
      </w:r>
    </w:p>
    <w:p w:rsidR="00406437" w:rsidRDefault="00406437" w:rsidP="00406437">
      <w:pPr>
        <w:autoSpaceDE w:val="0"/>
        <w:autoSpaceDN w:val="0"/>
        <w:adjustRightInd w:val="0"/>
        <w:spacing w:line="360" w:lineRule="auto"/>
        <w:rPr>
          <w:rFonts w:cs="Times New Roman"/>
          <w:szCs w:val="24"/>
        </w:rPr>
      </w:pPr>
      <w:r w:rsidRPr="00406437">
        <w:rPr>
          <w:rFonts w:cs="Times New Roman"/>
          <w:szCs w:val="24"/>
        </w:rPr>
        <w:t>zwischen der damaligen Gesellschaft Frankreichs und uns heutigen Rezipienten.</w:t>
      </w:r>
      <w:r w:rsidRPr="00406437">
        <w:rPr>
          <w:rStyle w:val="Funotenzeichen"/>
          <w:rFonts w:cs="Times New Roman"/>
          <w:szCs w:val="24"/>
        </w:rPr>
        <w:footnoteReference w:id="20"/>
      </w:r>
      <w:r w:rsidRPr="00406437">
        <w:rPr>
          <w:rFonts w:cs="Times New Roman"/>
          <w:szCs w:val="24"/>
        </w:rPr>
        <w:t xml:space="preserve"> Patrick Süskind schafft mit dieser geschichtlichen Einführung, welche die ‚Es war ein Mal…‘-Methode der Märchen fortführt, eine Erzählung, die von schlimmen Scheusalen und Menschen berichtet und die Menschen in Angst und Schrecken versetzte. Er bestimmt also bereits mit dem ersten Satz, dass er uns Rezipienten von einem sehr bösen Scheusal erzählen möchte. Durch diese Art des Einstiegs bereitet er dem/die Leser/In auf das kommende vor. </w:t>
      </w:r>
      <w:r w:rsidRPr="00406437">
        <w:rPr>
          <w:rFonts w:cs="Times New Roman"/>
          <w:szCs w:val="24"/>
        </w:rPr>
        <w:lastRenderedPageBreak/>
        <w:t xml:space="preserve">Man weiß bereits, dass es keine schöne, positive Geschichte wird, sondern, dass man es mit einem schrecklichen Menschen zu tun hat und distanziert sich so vornehmlich von der Handlung. Der Erzähler berichtet uns und wir wollen anfangs versuchen, die Distanz von Rezipient und Handlung zu wahren. Nachdem der/die Rezipient/in im Glauben ist, auf sicherer Seite zu sein, um nur als Zuhörer zu fungieren, beginnt Süskind mit der eigentlichen Handlung. Er erzählt uns auf sehr anschauliche Weise von der Umgebung und der Welt, in der Grenouille aufwächst. Er entführt den/die Leser/in in das Reich der Düfte. In dem Moment, als Süskind mit der Darstellung der Düfte durch illustrative Ausschmückungen und bildhafte Beschreibungen beginnt, verfällt der Leser gewissermaßen dem Duft des Erzählens und die Distanz von Handlung und Leser verschwindet, indem man sich die Welt Grenouilles bildlich vorstellt. </w:t>
      </w:r>
      <w:r w:rsidR="00164365">
        <w:rPr>
          <w:rFonts w:cs="Times New Roman"/>
          <w:szCs w:val="24"/>
        </w:rPr>
        <w:t xml:space="preserve"> </w:t>
      </w:r>
      <w:r w:rsidRPr="00406437">
        <w:rPr>
          <w:rFonts w:cs="Times New Roman"/>
          <w:szCs w:val="24"/>
        </w:rPr>
        <w:t xml:space="preserve">Durch diesen ironisch-humoristischen Stil und die immer auftauchenden Kommentare und Erläuterungen gewinnt der Erzähler die Sympathie des Lesers und fungiert damit nicht nur als Erzähler einer Handlung, sondern ebenso als Kommentator bzw. Moderator. Durch Aussagen wie folgende hat der Leser das Gefühl, dass er nicht nur eine fiktive Geschichte präsentiert bekommt, sondern der Erzähler wie eine Art Duftwolke in dieser Geschichte alle Handlungen miterlebt hat und nun an uns weitergibt. </w:t>
      </w:r>
    </w:p>
    <w:p w:rsidR="00E25F05" w:rsidRDefault="00C4479D" w:rsidP="00C4479D">
      <w:pPr>
        <w:spacing w:line="360" w:lineRule="auto"/>
        <w:ind w:left="540"/>
        <w:jc w:val="both"/>
      </w:pPr>
      <w:r w:rsidRPr="00D806DE">
        <w:t xml:space="preserve">„Ihr Schweiß duftete so frisch wie der </w:t>
      </w:r>
      <w:proofErr w:type="spellStart"/>
      <w:r w:rsidRPr="00D806DE">
        <w:t>Meerwind</w:t>
      </w:r>
      <w:proofErr w:type="spellEnd"/>
      <w:r w:rsidRPr="00D806DE">
        <w:t xml:space="preserve">, der Talg ihrer Haare so süß wie Nussöl, die Haut wie Aprikosenblüten.“ </w:t>
      </w:r>
      <w:r w:rsidRPr="00D806DE">
        <w:rPr>
          <w:rStyle w:val="Funotenzeichen"/>
        </w:rPr>
        <w:footnoteReference w:id="21"/>
      </w:r>
      <w:r w:rsidRPr="00D806DE">
        <w:t xml:space="preserve"> </w:t>
      </w:r>
    </w:p>
    <w:p w:rsidR="00C4479D" w:rsidRDefault="00C4479D" w:rsidP="00C4479D">
      <w:pPr>
        <w:spacing w:line="360" w:lineRule="auto"/>
        <w:ind w:left="540"/>
        <w:jc w:val="both"/>
      </w:pPr>
    </w:p>
    <w:p w:rsidR="00C4479D" w:rsidRPr="00C4479D" w:rsidRDefault="00C4479D" w:rsidP="00C4479D">
      <w:pPr>
        <w:spacing w:line="360" w:lineRule="auto"/>
        <w:jc w:val="both"/>
      </w:pPr>
    </w:p>
    <w:p w:rsidR="00406437" w:rsidRPr="00406437" w:rsidRDefault="00406437" w:rsidP="00406437">
      <w:pPr>
        <w:autoSpaceDE w:val="0"/>
        <w:autoSpaceDN w:val="0"/>
        <w:adjustRightInd w:val="0"/>
        <w:spacing w:line="360" w:lineRule="auto"/>
        <w:rPr>
          <w:rFonts w:cs="Times New Roman"/>
          <w:szCs w:val="24"/>
        </w:rPr>
      </w:pPr>
      <w:r w:rsidRPr="00406437">
        <w:rPr>
          <w:rFonts w:cs="Times New Roman"/>
          <w:szCs w:val="24"/>
        </w:rPr>
        <w:t>Die detailreichen Ausschmückungen sollen einerseits den auktorialen Erzähler eben als allwissend geltend machen, andererseits aber ferner den Leser in das Geschehen hineinversetzen und ihn Dinge miterleben lassen. Süskind kreierte also eine 3D Ansicht auf die erzählte Handlung mit auk</w:t>
      </w:r>
      <w:r w:rsidR="00AD6AC3">
        <w:rPr>
          <w:rFonts w:cs="Times New Roman"/>
          <w:szCs w:val="24"/>
        </w:rPr>
        <w:t xml:space="preserve">torialem Narrator und bildhafter Detailvielfalt. </w:t>
      </w:r>
      <w:r w:rsidRPr="00406437">
        <w:rPr>
          <w:rFonts w:cs="Times New Roman"/>
          <w:szCs w:val="24"/>
        </w:rPr>
        <w:t xml:space="preserve"> </w:t>
      </w:r>
    </w:p>
    <w:p w:rsidR="00406437" w:rsidRPr="00406437" w:rsidRDefault="00406437" w:rsidP="00406437">
      <w:pPr>
        <w:autoSpaceDE w:val="0"/>
        <w:autoSpaceDN w:val="0"/>
        <w:adjustRightInd w:val="0"/>
        <w:spacing w:line="360" w:lineRule="auto"/>
        <w:rPr>
          <w:rFonts w:cs="Times New Roman"/>
          <w:szCs w:val="24"/>
        </w:rPr>
      </w:pPr>
      <w:r w:rsidRPr="00406437">
        <w:rPr>
          <w:rFonts w:cs="Times New Roman"/>
          <w:szCs w:val="24"/>
        </w:rPr>
        <w:t xml:space="preserve">Speziell Süskinds Einsatz von rhetorischen Stilmitteln wie Wiederholungen bzw. Anaphern verdeutlichen dem Leser den Stand der Lage und vermitteln dem Gehirn des Rezipienten beinahe </w:t>
      </w:r>
      <w:r w:rsidR="00AD6AC3">
        <w:rPr>
          <w:rFonts w:cs="Times New Roman"/>
          <w:szCs w:val="24"/>
        </w:rPr>
        <w:t>jene</w:t>
      </w:r>
      <w:r w:rsidRPr="00406437">
        <w:rPr>
          <w:rFonts w:cs="Times New Roman"/>
          <w:szCs w:val="24"/>
        </w:rPr>
        <w:t xml:space="preserve"> Gefühl</w:t>
      </w:r>
      <w:r w:rsidR="00AD6AC3">
        <w:rPr>
          <w:rFonts w:cs="Times New Roman"/>
          <w:szCs w:val="24"/>
        </w:rPr>
        <w:t>e</w:t>
      </w:r>
      <w:r w:rsidRPr="00406437">
        <w:rPr>
          <w:rFonts w:cs="Times New Roman"/>
          <w:szCs w:val="24"/>
        </w:rPr>
        <w:t xml:space="preserve">, </w:t>
      </w:r>
      <w:r w:rsidR="00AD6AC3">
        <w:rPr>
          <w:rFonts w:cs="Times New Roman"/>
          <w:szCs w:val="24"/>
        </w:rPr>
        <w:t>die</w:t>
      </w:r>
      <w:r w:rsidRPr="00406437">
        <w:rPr>
          <w:rFonts w:cs="Times New Roman"/>
          <w:szCs w:val="24"/>
        </w:rPr>
        <w:t xml:space="preserve"> bestimmte Wörter bei mehrmaliger Wiederholung hervorrufen. Ein Beispiel sei das Wort stinken, welches Süskind für die Beschreibung der prekären Lage von Paris zu jener Zeit fast 17 Mal wiederholt: </w:t>
      </w:r>
    </w:p>
    <w:p w:rsidR="00406437" w:rsidRPr="00406437" w:rsidRDefault="00406437" w:rsidP="00406437">
      <w:pPr>
        <w:autoSpaceDE w:val="0"/>
        <w:autoSpaceDN w:val="0"/>
        <w:adjustRightInd w:val="0"/>
        <w:spacing w:line="360" w:lineRule="auto"/>
        <w:ind w:left="708"/>
        <w:rPr>
          <w:rFonts w:cs="Times New Roman"/>
          <w:sz w:val="22"/>
        </w:rPr>
      </w:pPr>
      <w:r w:rsidRPr="00406437">
        <w:rPr>
          <w:rFonts w:cs="Times New Roman"/>
          <w:sz w:val="22"/>
        </w:rPr>
        <w:t xml:space="preserve">„Es stanken die Straßen nach Mist, es stanken die Hinterhöfe nach Urin, es stanken die Treppenhäuser nach fauligem Holz und nach Rattendreck, die Küchen nach verdorbenem Kohl und Hammelfett; die ungelüfteten Stuben stanken nach muffigem Staub, die Schlafzimmer nach fettigen Laken, nach feuchten Federbetten und nach dem stechend süßen </w:t>
      </w:r>
      <w:r w:rsidRPr="00406437">
        <w:rPr>
          <w:rFonts w:cs="Times New Roman"/>
          <w:sz w:val="22"/>
        </w:rPr>
        <w:lastRenderedPageBreak/>
        <w:t>Duft der Nachttöpfe. Aus den Kaminen stank der Schwefel, aus den Gerbereien stanken die ätzenden Laugen, aus den Schlachthöfen stank das geronnene Blut. Die Menschen stanken nach Schweiß und nach ungewaschenen Kleidern; aus dem Mund stanken sie nach verrotteten Zähnen, aus ihren Mägen nach Zwiebelsaft. […] Es stanken die Flüsse, es stanken die Plätze, es stanken die Kirchen, es stank unter den Brücken und in den Palästen. Der Bauer stank wie der Priester, der Handwerksgeselle wie die Meisterfrau, es stank der gesamte Adel, ja sogar der König stank, wie ein Raubtier stank er […].“</w:t>
      </w:r>
      <w:r w:rsidRPr="00406437">
        <w:rPr>
          <w:rStyle w:val="Funotenzeichen"/>
          <w:rFonts w:cs="Times New Roman"/>
          <w:sz w:val="22"/>
        </w:rPr>
        <w:footnoteReference w:id="22"/>
      </w:r>
    </w:p>
    <w:p w:rsidR="00406437" w:rsidRPr="00406437" w:rsidRDefault="00406437" w:rsidP="00406437">
      <w:pPr>
        <w:autoSpaceDE w:val="0"/>
        <w:autoSpaceDN w:val="0"/>
        <w:adjustRightInd w:val="0"/>
        <w:spacing w:line="360" w:lineRule="auto"/>
        <w:rPr>
          <w:rFonts w:cs="Times New Roman"/>
          <w:szCs w:val="24"/>
        </w:rPr>
      </w:pPr>
    </w:p>
    <w:p w:rsidR="00E25F05" w:rsidRDefault="00406437" w:rsidP="00E25F05">
      <w:pPr>
        <w:autoSpaceDE w:val="0"/>
        <w:autoSpaceDN w:val="0"/>
        <w:adjustRightInd w:val="0"/>
        <w:spacing w:line="360" w:lineRule="auto"/>
        <w:rPr>
          <w:rFonts w:cs="Times New Roman"/>
          <w:szCs w:val="24"/>
        </w:rPr>
      </w:pPr>
      <w:r w:rsidRPr="00406437">
        <w:rPr>
          <w:rFonts w:cs="Times New Roman"/>
          <w:szCs w:val="24"/>
        </w:rPr>
        <w:t xml:space="preserve">Diese Aneinanderreihung des Verbes mit seinen abgeänderten Formen ‚stinken‘ regt das Vorstellungsvermögen verstärkt an und bald hat man das Gefühl bzw. den Gedanken, den faulen, modrigen Geruch, das Stinken, zu riechen. Dieses Hineinführen und Hineinversetzen in eine fremde Zeit, dieses Miterleben und Teilhaben an der Geschichte war wohl mitunter einer der Gründe für den immensen Erfolg des Romans. </w:t>
      </w:r>
    </w:p>
    <w:p w:rsidR="00E25F05" w:rsidRPr="00E25F05" w:rsidRDefault="00E25F05" w:rsidP="00E25F05">
      <w:pPr>
        <w:autoSpaceDE w:val="0"/>
        <w:autoSpaceDN w:val="0"/>
        <w:adjustRightInd w:val="0"/>
        <w:spacing w:line="360" w:lineRule="auto"/>
        <w:rPr>
          <w:rFonts w:cs="Times New Roman"/>
          <w:szCs w:val="24"/>
        </w:rPr>
      </w:pPr>
    </w:p>
    <w:p w:rsidR="00743C32" w:rsidRPr="00406437" w:rsidRDefault="00743C32" w:rsidP="00406437">
      <w:pPr>
        <w:spacing w:line="360" w:lineRule="auto"/>
        <w:jc w:val="both"/>
      </w:pPr>
    </w:p>
    <w:p w:rsidR="00637387" w:rsidRPr="00743C32" w:rsidRDefault="00637387" w:rsidP="00637387">
      <w:pPr>
        <w:numPr>
          <w:ilvl w:val="1"/>
          <w:numId w:val="9"/>
        </w:numPr>
        <w:tabs>
          <w:tab w:val="clear" w:pos="1275"/>
          <w:tab w:val="num" w:pos="1440"/>
        </w:tabs>
        <w:spacing w:line="360" w:lineRule="auto"/>
        <w:jc w:val="both"/>
        <w:rPr>
          <w:u w:val="single"/>
        </w:rPr>
      </w:pPr>
      <w:r>
        <w:rPr>
          <w:u w:val="single"/>
          <w:shd w:val="clear" w:color="auto" w:fill="00FFFF"/>
        </w:rPr>
        <w:t xml:space="preserve">Anfang </w:t>
      </w:r>
      <w:r w:rsidR="00E25F05">
        <w:rPr>
          <w:u w:val="single"/>
          <w:shd w:val="clear" w:color="auto" w:fill="00FFFF"/>
        </w:rPr>
        <w:t xml:space="preserve">und Ende </w:t>
      </w:r>
      <w:r>
        <w:rPr>
          <w:u w:val="single"/>
          <w:shd w:val="clear" w:color="auto" w:fill="00FFFF"/>
        </w:rPr>
        <w:t>im Film</w:t>
      </w:r>
    </w:p>
    <w:p w:rsidR="00743C32" w:rsidRDefault="00743C32" w:rsidP="00743C32">
      <w:pPr>
        <w:spacing w:line="360" w:lineRule="auto"/>
        <w:jc w:val="both"/>
      </w:pPr>
      <w:r>
        <w:t xml:space="preserve">Gleich zu Beginn des Films bricht Tykwer die Chronologie des Erzählens von Süskind auf, indem er in der ersten Szene Grenouille als Gefangenen im Kerker in Grasse vorstellt. Somit wird der Beginn des Finales in einem Prolog vorweggenommen, von dem aus mehr als 2/3 der Handlung als Rückblende entwickelt werden. Demnach begegnen die Zuschauer Grenouille nicht wie im Buch als Baby zum ersten Mal, sondern nachdem er bereits sein Werk vollbracht, das Parfum erstellt hat und vor seiner Hinrichtung steht.  Das Erste, was der Zuschauer dargeboten bekommt, ist ein Vorspann mit Musik. Als diese  verstummt, erscheint ein ganz und gar schwarzes Bild, in dem man nach und nach </w:t>
      </w:r>
      <w:proofErr w:type="gramStart"/>
      <w:r w:rsidR="00AD6AC3">
        <w:t>Umrisse</w:t>
      </w:r>
      <w:proofErr w:type="gramEnd"/>
      <w:r w:rsidR="00AD6AC3">
        <w:t xml:space="preserve"> zu </w:t>
      </w:r>
      <w:r>
        <w:t>erahnen scheint. Als erstes Bild des Films sieht man einen Lichtkegel, der sich als Nase des Protagonisten herausstellt. Katharina Floria</w:t>
      </w:r>
      <w:r w:rsidR="00AD6AC3">
        <w:t xml:space="preserve">n stellt in ihrer Diplomarbeit </w:t>
      </w:r>
      <w:r>
        <w:rPr>
          <w:i/>
        </w:rPr>
        <w:t>Die Verfilmung zweier Bestseller- Das Parfum und Schlafes Bruder</w:t>
      </w:r>
      <w:r>
        <w:t xml:space="preserve"> fest, dass damit klargemacht wird, um welches Organ (hier: Nase) sich die Geschichte drehen wird.</w:t>
      </w:r>
      <w:r>
        <w:rPr>
          <w:rStyle w:val="Funotenzeichen"/>
        </w:rPr>
        <w:footnoteReference w:id="23"/>
      </w:r>
      <w:r>
        <w:t xml:space="preserve">  Wenige Zeit später stürzen mehrere Männer eilig auf das Verlies zu, das sich nun erst als  solches zu erkennen gibt, und holen den Gefangen, von dem man bis jetzt nur seine Nase und  eine Rückansicht erkannt hat, heraus und zerren ihn einen Gang entlang, so dass er stürzt.  Doch es wird weiterhin heftig an ihm gezogen, so dass er wieder aufstehen und mit seinen  Eisenfesseln um Hals, Hände und Füße weiterlaufen muss. Nach dieser Sequenz erfolgt ein Schnitt, so dass man wahrnimmt, was sich vor den </w:t>
      </w:r>
      <w:r>
        <w:lastRenderedPageBreak/>
        <w:t>Toren des Gebäudes ereignet.  Der Gefangene wird eine Treppe hinauf zu weiteren Männern gebracht, die vermutlich der  Vorstand dieser Stadt oder sehr einflussreiche Leute sind, was man an ihrer Kleidung  unschwer erkennen kann. Der Zuschauer vernimm</w:t>
      </w:r>
      <w:r w:rsidR="002742F2">
        <w:t>t aus ihren Mündern die Worte</w:t>
      </w:r>
      <w:r w:rsidR="00AD6AC3">
        <w:t>,</w:t>
      </w:r>
      <w:r w:rsidR="002742F2">
        <w:t xml:space="preserve"> </w:t>
      </w:r>
      <w:r w:rsidR="00AD6AC3">
        <w:t>keine  Gnade</w:t>
      </w:r>
      <w:r>
        <w:t xml:space="preserve">, so dass er schon einen groben Einblick über das Geschehen hat.  Im nächsten Moment wird der Gefangene hinaus auf einen großen Balkon des Gebäudes gebracht, um ihn der tobenden Menge vorzuführen, die nach dessen Tod verlangt. Während all dieser Geschehnisse hat man den Protagonisten nur von hinten zu sehen bekommen. </w:t>
      </w:r>
    </w:p>
    <w:p w:rsidR="00743C32" w:rsidRDefault="00743C32" w:rsidP="00743C32">
      <w:pPr>
        <w:spacing w:line="360" w:lineRule="auto"/>
        <w:jc w:val="both"/>
      </w:pPr>
      <w:r>
        <w:rPr>
          <w:noProof/>
          <w:lang w:eastAsia="de-DE"/>
        </w:rPr>
        <w:drawing>
          <wp:anchor distT="0" distB="0" distL="114300" distR="114300" simplePos="0" relativeHeight="251668480" behindDoc="1" locked="0" layoutInCell="1" allowOverlap="1">
            <wp:simplePos x="0" y="0"/>
            <wp:positionH relativeFrom="column">
              <wp:posOffset>3291205</wp:posOffset>
            </wp:positionH>
            <wp:positionV relativeFrom="paragraph">
              <wp:posOffset>-175895</wp:posOffset>
            </wp:positionV>
            <wp:extent cx="2286000" cy="1514475"/>
            <wp:effectExtent l="19050" t="0" r="0" b="0"/>
            <wp:wrapTight wrapText="bothSides">
              <wp:wrapPolygon edited="0">
                <wp:start x="-180" y="0"/>
                <wp:lineTo x="-180" y="21464"/>
                <wp:lineTo x="21600" y="21464"/>
                <wp:lineTo x="21600" y="0"/>
                <wp:lineTo x="-180" y="0"/>
              </wp:wrapPolygon>
            </wp:wrapTight>
            <wp:docPr id="3" name="Bild 2" descr="Das Parfum - Die Geschichte eines Mö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Parfum - Die Geschichte eines Mörders"/>
                    <pic:cNvPicPr>
                      <a:picLocks noChangeAspect="1" noChangeArrowheads="1"/>
                    </pic:cNvPicPr>
                  </pic:nvPicPr>
                  <pic:blipFill>
                    <a:blip r:embed="rId8" r:link="rId9" cstate="print"/>
                    <a:srcRect/>
                    <a:stretch>
                      <a:fillRect/>
                    </a:stretch>
                  </pic:blipFill>
                  <pic:spPr bwMode="auto">
                    <a:xfrm>
                      <a:off x="0" y="0"/>
                      <a:ext cx="2286000" cy="1514475"/>
                    </a:xfrm>
                    <a:prstGeom prst="rect">
                      <a:avLst/>
                    </a:prstGeom>
                    <a:noFill/>
                    <a:ln w="9525">
                      <a:noFill/>
                      <a:miter lim="800000"/>
                      <a:headEnd/>
                      <a:tailEnd/>
                    </a:ln>
                  </pic:spPr>
                </pic:pic>
              </a:graphicData>
            </a:graphic>
          </wp:anchor>
        </w:drawing>
      </w:r>
    </w:p>
    <w:p w:rsidR="00743C32" w:rsidRDefault="00743C32" w:rsidP="00743C32">
      <w:pPr>
        <w:spacing w:line="360" w:lineRule="auto"/>
        <w:jc w:val="both"/>
      </w:pPr>
      <w:r>
        <w:t xml:space="preserve">Die Kamera zoomt jetzt immer näher heran,  </w:t>
      </w:r>
      <w:r>
        <w:rPr>
          <w:rStyle w:val="Funotenzeichen"/>
        </w:rPr>
        <w:footnoteReference w:id="24"/>
      </w:r>
    </w:p>
    <w:p w:rsidR="00743C32" w:rsidRDefault="00743C32" w:rsidP="00743C32">
      <w:pPr>
        <w:spacing w:line="360" w:lineRule="auto"/>
        <w:jc w:val="both"/>
      </w:pPr>
      <w:r>
        <w:t xml:space="preserve">so dass wir nun zum ersten Mal das Gesicht </w:t>
      </w:r>
    </w:p>
    <w:p w:rsidR="00743C32" w:rsidRDefault="00743C32" w:rsidP="00743C32">
      <w:pPr>
        <w:spacing w:line="360" w:lineRule="auto"/>
        <w:jc w:val="both"/>
      </w:pPr>
      <w:r>
        <w:t xml:space="preserve">des Protagonisten erkennen können. </w:t>
      </w:r>
    </w:p>
    <w:p w:rsidR="00743C32" w:rsidRDefault="00743C32" w:rsidP="00743C32">
      <w:pPr>
        <w:spacing w:line="360" w:lineRule="auto"/>
        <w:jc w:val="both"/>
      </w:pPr>
    </w:p>
    <w:p w:rsidR="00743C32" w:rsidRDefault="00743C32" w:rsidP="00743C32">
      <w:pPr>
        <w:spacing w:line="360" w:lineRule="auto"/>
        <w:jc w:val="both"/>
      </w:pPr>
    </w:p>
    <w:p w:rsidR="00743C32" w:rsidRDefault="00743C32" w:rsidP="00743C32">
      <w:pPr>
        <w:spacing w:line="360" w:lineRule="auto"/>
        <w:jc w:val="both"/>
      </w:pPr>
      <w:r>
        <w:t xml:space="preserve">Da wird auch schon das Urteil über ihn verkündet, wodurch der Zuschauer erfährt, dass es </w:t>
      </w:r>
    </w:p>
    <w:p w:rsidR="00743C32" w:rsidRDefault="00743C32" w:rsidP="00743C32">
      <w:pPr>
        <w:spacing w:line="360" w:lineRule="auto"/>
        <w:jc w:val="both"/>
      </w:pPr>
      <w:r>
        <w:t xml:space="preserve">sich um einen Mann namens Jean Baptiste Grenouille handelt, der Parfumeurgeselle ist. Doch </w:t>
      </w:r>
    </w:p>
    <w:p w:rsidR="00743C32" w:rsidRDefault="00743C32" w:rsidP="00743C32">
      <w:pPr>
        <w:spacing w:line="360" w:lineRule="auto"/>
        <w:jc w:val="both"/>
      </w:pPr>
      <w:r>
        <w:t xml:space="preserve">nun soll er binnen zwei Tagen auf grausame Art und Weise hingerichtet werden, worauf die </w:t>
      </w:r>
    </w:p>
    <w:p w:rsidR="00743C32" w:rsidRDefault="00743C32" w:rsidP="00743C32">
      <w:pPr>
        <w:spacing w:line="360" w:lineRule="auto"/>
        <w:jc w:val="both"/>
      </w:pPr>
      <w:r>
        <w:t xml:space="preserve">Menschenmenge freudig tobt.  Immer noch auf dem Balkon stehend, wird dessen Gesicht von der Kamera immer näher  heran gezoomt bis es das ganze Bild ausfüllt. Genau in diesem Moment setzt eine  Erzählerstimme ein, die im Folgenden über ihn berichtet. Die Kamera fährt währenddessen  immer näher an seine Nase heran, bis sie einen kleinen Schwenker in Richtung der Nasenlöcher macht und das Bild schwarz enden lässt, so dass man das Gefühl bekommt von der Nase aufgesogen zu werden. Inhaltlich ist das, was der Erzähler nun berichtet, das, was wir in Süskinds Roman zu Beginn erfahren. Nun erscheint der Haupttitel auf schwarzem Grund.  Schon wenige Sekunden später setzt der Erzähler seine Geschichte fort und wir als Zuschauer  befinden uns mitten im Paris des 18. Jahrhunderts auf einem Markt, wo wir all den Gestank  dieser Zeit bildhaft vorgeführt bekommen. Geführt wird die Kamera so, dass das Publikum das Gefühl bekommt, selbst durch diese Menschenmenge zu laufen und dies alles selbst zu erleben. Außerdem erfahren wir durch den Erzähler, dass Grenouille genau an diesem Ort auf die Welt gekommen ist. </w:t>
      </w:r>
    </w:p>
    <w:p w:rsidR="00743C32" w:rsidRDefault="00743C32" w:rsidP="00743C32">
      <w:pPr>
        <w:spacing w:line="360" w:lineRule="auto"/>
        <w:jc w:val="both"/>
      </w:pPr>
    </w:p>
    <w:p w:rsidR="00743C32" w:rsidRDefault="00743C32" w:rsidP="00743C32">
      <w:pPr>
        <w:spacing w:line="360" w:lineRule="auto"/>
        <w:jc w:val="both"/>
      </w:pPr>
      <w:r>
        <w:t xml:space="preserve">Zusammenfassend lässt sich festhalten, dass man hier also eine spätere Szene des Buches </w:t>
      </w:r>
    </w:p>
    <w:p w:rsidR="00743C32" w:rsidRDefault="00743C32" w:rsidP="00743C32">
      <w:pPr>
        <w:spacing w:line="360" w:lineRule="auto"/>
        <w:jc w:val="both"/>
      </w:pPr>
      <w:r>
        <w:lastRenderedPageBreak/>
        <w:t xml:space="preserve">nach vorne gezogen hat, um Spannung und Neugier aufzubauen, um dann den Anfang von </w:t>
      </w:r>
    </w:p>
    <w:p w:rsidR="00743C32" w:rsidRDefault="00743C32" w:rsidP="00743C32">
      <w:pPr>
        <w:spacing w:line="360" w:lineRule="auto"/>
        <w:jc w:val="both"/>
      </w:pPr>
      <w:r>
        <w:t xml:space="preserve">Süskind relativ nah am Text zu inszenieren und so den Protagonisten der Geschichte und die </w:t>
      </w:r>
    </w:p>
    <w:p w:rsidR="00743C32" w:rsidRDefault="00743C32" w:rsidP="00743C32">
      <w:pPr>
        <w:spacing w:line="360" w:lineRule="auto"/>
        <w:jc w:val="both"/>
      </w:pPr>
      <w:r>
        <w:t xml:space="preserve">Zeit, in der er lebte, einzuführen.  Die Sequenz von Grenouilles Geburt führt das Schlachten und Ausnehmen, das Blut der glitschigen, toten Fische und die schleimigen Reste entsprechend vor. Die </w:t>
      </w:r>
      <w:r w:rsidR="00AD6AC3">
        <w:t>duftenden</w:t>
      </w:r>
      <w:r>
        <w:t xml:space="preserve"> Beiklänge strömen dem Zuschauer entgegen wie der Gestank auf das unter dem Tisch liegende Neugeborene. Sein entsetzter Schrei über den unerträgl</w:t>
      </w:r>
      <w:r w:rsidR="00AD6AC3">
        <w:t>ichen Mief</w:t>
      </w:r>
      <w:r>
        <w:t xml:space="preserve"> führt die Geschichte weiter zur Hängung seiner Mutter und sogleich auch zu Madam Gaillard. </w:t>
      </w:r>
    </w:p>
    <w:p w:rsidR="00743C32" w:rsidRDefault="00743C32" w:rsidP="00743C32">
      <w:pPr>
        <w:spacing w:line="360" w:lineRule="auto"/>
        <w:jc w:val="both"/>
      </w:pPr>
    </w:p>
    <w:p w:rsidR="00E50920" w:rsidRDefault="00E50920" w:rsidP="00E50920">
      <w:pPr>
        <w:spacing w:line="360" w:lineRule="auto"/>
        <w:jc w:val="both"/>
      </w:pPr>
      <w:r>
        <w:t>Der vierte Teil des Romans wird schließlich wieder sehr getreu übernommen. Grenouille kehrt zurück nach Paris an den Ort seiner Geburt. Dort übergießt er sich mit dem gesamten Inhalt des Flakons und wird vom Gesindel, das sich dort aufhält, aufgefressen. Süskind schildert das Erlebnis aus der Perspektive des Gesindels. Als Grenouille sich mit dem Inhalt des Flakons übergießt, ist er „</w:t>
      </w:r>
      <w:r w:rsidRPr="002742F2">
        <w:rPr>
          <w:iCs/>
        </w:rPr>
        <w:t>wie von strahlendem Feuer</w:t>
      </w:r>
      <w:r>
        <w:t>“ umgeben.</w:t>
      </w:r>
      <w:r>
        <w:rPr>
          <w:rStyle w:val="Funotenzeichen"/>
        </w:rPr>
        <w:footnoteReference w:id="25"/>
      </w:r>
    </w:p>
    <w:p w:rsidR="00E50920" w:rsidRDefault="00E50920" w:rsidP="00E50920">
      <w:pPr>
        <w:spacing w:line="360" w:lineRule="auto"/>
        <w:jc w:val="both"/>
      </w:pPr>
      <w:r>
        <w:rPr>
          <w:noProof/>
          <w:lang w:eastAsia="de-DE"/>
        </w:rPr>
        <w:drawing>
          <wp:anchor distT="0" distB="0" distL="114300" distR="114300" simplePos="0" relativeHeight="251670528" behindDoc="1" locked="0" layoutInCell="1" allowOverlap="1">
            <wp:simplePos x="0" y="0"/>
            <wp:positionH relativeFrom="column">
              <wp:posOffset>0</wp:posOffset>
            </wp:positionH>
            <wp:positionV relativeFrom="paragraph">
              <wp:posOffset>76835</wp:posOffset>
            </wp:positionV>
            <wp:extent cx="1828800" cy="1209675"/>
            <wp:effectExtent l="19050" t="0" r="0" b="0"/>
            <wp:wrapTight wrapText="bothSides">
              <wp:wrapPolygon edited="0">
                <wp:start x="-225" y="0"/>
                <wp:lineTo x="-225" y="21430"/>
                <wp:lineTo x="21600" y="21430"/>
                <wp:lineTo x="21600" y="0"/>
                <wp:lineTo x="-225" y="0"/>
              </wp:wrapPolygon>
            </wp:wrapTight>
            <wp:docPr id="2" name="Bild 3" descr="goldaura_grenou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aura_grenouille"/>
                    <pic:cNvPicPr>
                      <a:picLocks noChangeAspect="1" noChangeArrowheads="1"/>
                    </pic:cNvPicPr>
                  </pic:nvPicPr>
                  <pic:blipFill>
                    <a:blip r:embed="rId10" cstate="print"/>
                    <a:srcRect/>
                    <a:stretch>
                      <a:fillRect/>
                    </a:stretch>
                  </pic:blipFill>
                  <pic:spPr bwMode="auto">
                    <a:xfrm>
                      <a:off x="0" y="0"/>
                      <a:ext cx="1828800" cy="1209675"/>
                    </a:xfrm>
                    <a:prstGeom prst="rect">
                      <a:avLst/>
                    </a:prstGeom>
                    <a:noFill/>
                    <a:ln w="9525">
                      <a:noFill/>
                      <a:miter lim="800000"/>
                      <a:headEnd/>
                      <a:tailEnd/>
                    </a:ln>
                  </pic:spPr>
                </pic:pic>
              </a:graphicData>
            </a:graphic>
          </wp:anchor>
        </w:drawing>
      </w:r>
    </w:p>
    <w:p w:rsidR="00E50920" w:rsidRDefault="00E50920" w:rsidP="00E50920">
      <w:pPr>
        <w:spacing w:line="360" w:lineRule="auto"/>
        <w:jc w:val="both"/>
      </w:pPr>
      <w:r>
        <w:t xml:space="preserve">Im Film wird er jedoch mit einer in Gold schimmernden Aura umgeben als er sich mit dem Parfum begießt. </w:t>
      </w:r>
    </w:p>
    <w:p w:rsidR="00E50920" w:rsidRDefault="00E50920" w:rsidP="00E50920">
      <w:pPr>
        <w:spacing w:line="360" w:lineRule="auto"/>
        <w:jc w:val="both"/>
      </w:pPr>
      <w:r>
        <w:rPr>
          <w:rStyle w:val="Funotenzeichen"/>
        </w:rPr>
        <w:footnoteReference w:id="26"/>
      </w:r>
    </w:p>
    <w:p w:rsidR="00E50920" w:rsidRDefault="00E50920" w:rsidP="00E50920">
      <w:pPr>
        <w:spacing w:line="360" w:lineRule="auto"/>
        <w:jc w:val="both"/>
      </w:pPr>
    </w:p>
    <w:p w:rsidR="00E50920" w:rsidRDefault="00E50920" w:rsidP="00E50920">
      <w:pPr>
        <w:spacing w:line="360" w:lineRule="auto"/>
        <w:jc w:val="both"/>
      </w:pPr>
      <w:r>
        <w:t xml:space="preserve">Die letzte Einstellung zeigt, wie sich der Fischmarkt am Morgen mit Menschen füllt. Der Flakon liegt am Boden und der letzte Tropfen des Parfums fällt auf die Erde. </w:t>
      </w:r>
    </w:p>
    <w:p w:rsidR="00E50920" w:rsidRDefault="00E50920" w:rsidP="00743C32">
      <w:pPr>
        <w:spacing w:line="360" w:lineRule="auto"/>
        <w:jc w:val="both"/>
      </w:pPr>
    </w:p>
    <w:p w:rsidR="00E50920" w:rsidRDefault="00E50920" w:rsidP="00743C32">
      <w:pPr>
        <w:spacing w:line="360" w:lineRule="auto"/>
        <w:jc w:val="both"/>
      </w:pPr>
    </w:p>
    <w:p w:rsidR="00E50920" w:rsidRDefault="00E50920" w:rsidP="00E50920">
      <w:pPr>
        <w:tabs>
          <w:tab w:val="left" w:pos="2200"/>
        </w:tabs>
        <w:spacing w:line="360" w:lineRule="auto"/>
        <w:jc w:val="both"/>
      </w:pPr>
      <w:r>
        <w:t xml:space="preserve">Im Film wendet auch Tykwer diese Methode der Spannungssteigerung an, indem auch er  vorbedeutende bzw. </w:t>
      </w:r>
      <w:r w:rsidRPr="00700BD7">
        <w:t>prospektive Hinweise</w:t>
      </w:r>
      <w:r>
        <w:t xml:space="preserve"> auf Grenouille gibt. </w:t>
      </w:r>
    </w:p>
    <w:p w:rsidR="00FA76F4" w:rsidRDefault="00700BD7" w:rsidP="00E50920">
      <w:pPr>
        <w:tabs>
          <w:tab w:val="left" w:pos="2200"/>
        </w:tabs>
        <w:spacing w:line="360" w:lineRule="auto"/>
        <w:jc w:val="both"/>
      </w:pPr>
      <w:r>
        <w:t xml:space="preserve">Die Suspense am Anfang des Films wird also dadurch erzeugt, dass einerseits der Wunsch gehegt wird, dass die moralisch schlechte Figur ein schlechtes Ende erleidet. Wir würden uns für Grenouille als das Scheusal schlechthin ein schlechtes Ende wünschen. Dadurch, dass das ‚angebliche‘ Ende Grenouilles hinter Gitterstäben gezeigt wird, verweist Tykwer bereits am Anfang </w:t>
      </w:r>
      <w:r w:rsidR="007C5CA1">
        <w:t xml:space="preserve">auf eine Bestrafung Grenouilles für seine Taten. Der Rezipient weiß also bereits vor dem eigentlichen Grund der Todesstrafe für Grenouille, dass dieser bestraft wird. </w:t>
      </w:r>
    </w:p>
    <w:p w:rsidR="00FA76F4" w:rsidRDefault="007C5CA1" w:rsidP="00FA76F4">
      <w:pPr>
        <w:spacing w:line="360" w:lineRule="auto"/>
        <w:jc w:val="both"/>
      </w:pPr>
      <w:r>
        <w:lastRenderedPageBreak/>
        <w:t xml:space="preserve">Dadurch werden wir schon auf einen schlechten Menschen als Protagonisten eingestellt. Wir glauben durch diesen ‚vorgetäuschten‘ Schluss, die Verurteilung Grenouilles, dass dies auch sein Ende sein wird. Die </w:t>
      </w:r>
      <w:r w:rsidR="00F3603A">
        <w:t xml:space="preserve">große </w:t>
      </w:r>
      <w:r>
        <w:t xml:space="preserve">Suspense entsteht also </w:t>
      </w:r>
      <w:r w:rsidR="00F3603A">
        <w:t xml:space="preserve">zu dem Zeitpunkt, wo wir glauben, Grenouille wird nun verurteilt und öffentlich hingerichtet. Diesen Glauben haben wir, weil wir anfangs eben diese Szene gesehen und für den vermeintlichen Schluss gehalten haben. Diese Wissenssicherheit verschwindet, also Grenouille vom Wagen aussteigt und die Kleidung eines Beamten anhat. Nun weiß der Rezipient nicht mehr, wie es weitergehen wird. DA er bereits am Anfang die Gefängnisszene gesehen hat, wusste er während des ganzen Films, dass er gefasst und verurteilt werden würde. Hier bestand immer nur die Frage, wann er geschnappt wird und wie, und nicht ob er </w:t>
      </w:r>
      <w:r w:rsidR="00D63915">
        <w:t>erwischt</w:t>
      </w:r>
      <w:r w:rsidR="00F3603A">
        <w:t xml:space="preserve"> wird. </w:t>
      </w:r>
      <w:r w:rsidR="00FA76F4">
        <w:t xml:space="preserve"> Demnach bildet der Rezipient kein Kalkül alternativer Handlungsentwicklungen, kein Kalkül der Wahrscheinlichkeiten in Bezug darauf, ob Grenouille gefasst wird. Es gibt kein Outcome A oder B für den Filmseher, sondern  nur das Outcome C: die Festnahme. Wahrscheinlichkeit A wäre hier, dass er bei einem Mord oder einer Destillation der Jungfrauen geschnappt wird, Wahrscheinlichkeit  B ist, dass er nun eben nicht erwischt wird. </w:t>
      </w:r>
    </w:p>
    <w:p w:rsidR="00E50920" w:rsidRDefault="00E50920" w:rsidP="00FA76F4">
      <w:pPr>
        <w:spacing w:line="360" w:lineRule="auto"/>
        <w:jc w:val="both"/>
      </w:pPr>
    </w:p>
    <w:p w:rsidR="00DF461D" w:rsidRDefault="00FA76F4" w:rsidP="0031735B">
      <w:pPr>
        <w:spacing w:line="360" w:lineRule="auto"/>
        <w:jc w:val="both"/>
      </w:pPr>
      <w:r>
        <w:t xml:space="preserve">Ab dem Moment, wo Grenouille die Verurteilung durch sein Parfum umgeht, ändert sich auch die Haltung des Rezipienten gegenüber der Erzählung. Nun ist der Ausgang von Grenouilles Schicksal ungewiss und der Suspenseeffekt </w:t>
      </w:r>
      <w:r w:rsidR="0031735B">
        <w:t xml:space="preserve">von ungewissem Ausgang und Hoffnung auf ein moralisch richtiges Ende da. Es wird also dadurch Spannung konstruiert, indem der Rezipient angeregt wird, ein Kalkül alternativer Szenarien bezüglich des </w:t>
      </w:r>
      <w:proofErr w:type="gramStart"/>
      <w:r w:rsidR="0031735B">
        <w:t>Ausg</w:t>
      </w:r>
      <w:r w:rsidR="00DF461D">
        <w:t>ang</w:t>
      </w:r>
      <w:proofErr w:type="gramEnd"/>
      <w:r w:rsidR="00DF461D">
        <w:t xml:space="preserve"> zu entwickeln. Möglichkeiten, die sich  nun neu auftun sind folgende:</w:t>
      </w:r>
    </w:p>
    <w:p w:rsidR="00DF461D" w:rsidRDefault="00DF461D" w:rsidP="0031735B">
      <w:pPr>
        <w:spacing w:line="360" w:lineRule="auto"/>
        <w:jc w:val="both"/>
      </w:pPr>
      <w:r>
        <w:t>A1: Grenouille wird doch gefasst.</w:t>
      </w:r>
    </w:p>
    <w:p w:rsidR="00DF461D" w:rsidRDefault="00DF461D" w:rsidP="0031735B">
      <w:pPr>
        <w:spacing w:line="360" w:lineRule="auto"/>
        <w:jc w:val="both"/>
      </w:pPr>
      <w:r>
        <w:t>B1: er entkommt</w:t>
      </w:r>
    </w:p>
    <w:p w:rsidR="007C5CA1" w:rsidRDefault="00DF461D" w:rsidP="0031735B">
      <w:pPr>
        <w:spacing w:line="360" w:lineRule="auto"/>
        <w:jc w:val="both"/>
      </w:pPr>
      <w:r>
        <w:t>A2: Er lebt bis an sein Ende.</w:t>
      </w:r>
    </w:p>
    <w:p w:rsidR="00DF461D" w:rsidRDefault="00DF461D" w:rsidP="0031735B">
      <w:pPr>
        <w:spacing w:line="360" w:lineRule="auto"/>
        <w:jc w:val="both"/>
      </w:pPr>
      <w:r>
        <w:t>B2: Er stirbt.</w:t>
      </w:r>
    </w:p>
    <w:p w:rsidR="00DF461D" w:rsidRDefault="00DF461D" w:rsidP="0031735B">
      <w:pPr>
        <w:spacing w:line="360" w:lineRule="auto"/>
        <w:jc w:val="both"/>
      </w:pPr>
      <w:r>
        <w:t>A3: Jemand bringt ihn um.</w:t>
      </w:r>
    </w:p>
    <w:p w:rsidR="00DF461D" w:rsidRDefault="00DF461D" w:rsidP="0031735B">
      <w:pPr>
        <w:spacing w:line="360" w:lineRule="auto"/>
        <w:jc w:val="both"/>
      </w:pPr>
      <w:r>
        <w:t xml:space="preserve">A4: Er begeht Selbstmord. </w:t>
      </w:r>
    </w:p>
    <w:p w:rsidR="00743C32" w:rsidRPr="00E50920" w:rsidRDefault="00DF461D" w:rsidP="00743C32">
      <w:pPr>
        <w:spacing w:line="360" w:lineRule="auto"/>
        <w:jc w:val="both"/>
      </w:pPr>
      <w:r>
        <w:t xml:space="preserve">Erst bei den letzten Minuten erfüllt sich je einer der vom Rezipienten aufgebauten Entscheidungen. </w:t>
      </w:r>
      <w:r w:rsidR="00E50920">
        <w:t xml:space="preserve">A1, B2 und A4 erfüllen sich. </w:t>
      </w:r>
      <w:r w:rsidR="00D12C94">
        <w:t xml:space="preserve">Der Rezipient stellt also </w:t>
      </w:r>
      <w:r w:rsidR="00D12C94" w:rsidRPr="00D12C94">
        <w:t>Extrapolation</w:t>
      </w:r>
      <w:r w:rsidR="00D12C94">
        <w:t xml:space="preserve">en </w:t>
      </w:r>
      <w:r w:rsidR="00D12C94" w:rsidRPr="00D12C94">
        <w:t xml:space="preserve"> und Antizipation</w:t>
      </w:r>
      <w:r w:rsidR="00D12C94">
        <w:t>en</w:t>
      </w:r>
      <w:r w:rsidR="00D12C94" w:rsidRPr="00D12C94">
        <w:t xml:space="preserve"> in </w:t>
      </w:r>
      <w:r w:rsidR="00D12C94">
        <w:t xml:space="preserve">die </w:t>
      </w:r>
      <w:r w:rsidR="00D12C94" w:rsidRPr="00D12C94">
        <w:t>narrative Zukunft hinein</w:t>
      </w:r>
      <w:r w:rsidR="00D12C94">
        <w:t xml:space="preserve"> und am Ende erfüllt sich dann je eine der Hypothesen. </w:t>
      </w:r>
    </w:p>
    <w:p w:rsidR="00E50920" w:rsidRDefault="00E50920" w:rsidP="00743C32">
      <w:pPr>
        <w:spacing w:line="360" w:lineRule="auto"/>
        <w:jc w:val="both"/>
      </w:pPr>
    </w:p>
    <w:p w:rsidR="00E25F05" w:rsidRPr="00743C32" w:rsidRDefault="00E25F05" w:rsidP="00743C32">
      <w:pPr>
        <w:spacing w:line="360" w:lineRule="auto"/>
        <w:jc w:val="both"/>
      </w:pPr>
    </w:p>
    <w:p w:rsidR="00743C32" w:rsidRPr="00743C32" w:rsidRDefault="00E25F05" w:rsidP="00637387">
      <w:pPr>
        <w:numPr>
          <w:ilvl w:val="1"/>
          <w:numId w:val="9"/>
        </w:numPr>
        <w:tabs>
          <w:tab w:val="clear" w:pos="1275"/>
          <w:tab w:val="num" w:pos="1440"/>
        </w:tabs>
        <w:spacing w:line="360" w:lineRule="auto"/>
        <w:jc w:val="both"/>
        <w:rPr>
          <w:u w:val="single"/>
        </w:rPr>
      </w:pPr>
      <w:r>
        <w:rPr>
          <w:u w:val="single"/>
          <w:shd w:val="clear" w:color="auto" w:fill="00FFFF"/>
        </w:rPr>
        <w:lastRenderedPageBreak/>
        <w:t>Erzählformen</w:t>
      </w:r>
      <w:r w:rsidR="00743C32">
        <w:rPr>
          <w:u w:val="single"/>
          <w:shd w:val="clear" w:color="auto" w:fill="00FFFF"/>
        </w:rPr>
        <w:t xml:space="preserve"> von Tom Tykwer</w:t>
      </w:r>
    </w:p>
    <w:p w:rsidR="00743C32" w:rsidRDefault="00743C32" w:rsidP="00743C32">
      <w:pPr>
        <w:spacing w:line="360" w:lineRule="auto"/>
        <w:jc w:val="both"/>
      </w:pPr>
      <w:r>
        <w:t xml:space="preserve">Was macht die besondere Anziehungskraft der Filme von Tom Tykwer aus? Der Grund dafür ist, dass es eine durchaus eigene Welt ist, in der man als Zuschauer unwiderstehlich hineingezogen wird, ein eigener Kosmos von Zeichen und Symbolen. Tykwers Welt, so Karl </w:t>
      </w:r>
      <w:proofErr w:type="spellStart"/>
      <w:r>
        <w:t>Prümm</w:t>
      </w:r>
      <w:proofErr w:type="spellEnd"/>
      <w:r>
        <w:t xml:space="preserve">, ist ein </w:t>
      </w:r>
    </w:p>
    <w:p w:rsidR="00743C32" w:rsidRPr="00135B6F" w:rsidRDefault="00743C32" w:rsidP="00743C32">
      <w:pPr>
        <w:tabs>
          <w:tab w:val="left" w:pos="540"/>
        </w:tabs>
        <w:spacing w:line="360" w:lineRule="auto"/>
        <w:ind w:left="540"/>
        <w:jc w:val="both"/>
      </w:pPr>
      <w:r w:rsidRPr="00135B6F">
        <w:t>„</w:t>
      </w:r>
      <w:r w:rsidRPr="00E25F05">
        <w:rPr>
          <w:sz w:val="22"/>
        </w:rPr>
        <w:t>eng begrenztes Feld von Themen und Motive, auf der er geradezu obsessiv immer wieder zurückkommt, das sind die ganz besonderen, halb magische und märchenhaften Geschichten, die er unablässig erzählt, das ist der spezifische Blick auf die Wirklichkeit, den wir wieder erkennen und der die Filme als ein einheitliches Oeuvre erscheinen lässt.“</w:t>
      </w:r>
      <w:r w:rsidRPr="00E25F05">
        <w:rPr>
          <w:rStyle w:val="Funotenzeichen"/>
          <w:sz w:val="22"/>
        </w:rPr>
        <w:footnoteReference w:id="27"/>
      </w:r>
      <w:r w:rsidRPr="00E25F05">
        <w:rPr>
          <w:sz w:val="22"/>
        </w:rPr>
        <w:t xml:space="preserve"> </w:t>
      </w:r>
    </w:p>
    <w:p w:rsidR="00743C32" w:rsidRDefault="00743C32" w:rsidP="00743C32">
      <w:pPr>
        <w:spacing w:line="360" w:lineRule="auto"/>
        <w:jc w:val="both"/>
      </w:pPr>
    </w:p>
    <w:p w:rsidR="00743C32" w:rsidRDefault="00743C32" w:rsidP="00743C32">
      <w:pPr>
        <w:spacing w:line="360" w:lineRule="auto"/>
        <w:jc w:val="both"/>
      </w:pPr>
      <w:r>
        <w:t>Damit ist die erste und entscheidende Qualität bereits genannt. Tom Tykwer hat den Mut, eine eigene Welt zu kreieren. Außerdem bedient er sich ganz besonderer, individueller Techniken, die den Zuschauer wiederum in diese Welt einbringen.  In Tykwers Filmen gibt es immer wieder besondere Erkenntnismomente, in denen die Figuren zu sich selber kommen, sich und ihre Welt schlagartig begreifen. Diese jähe Erkenntnis hat Tykwer auch im Falle des Grenouille (Fehlen des Eigengeruchs) deutlich umgesetzt und für uns Zuschauer verständlich erkenntlich gemacht.  Eines der Grundelemente, das bei Tykwer allgegenwärtig ist, ist das Prinzip der Bewegung, das aber stets in einer „</w:t>
      </w:r>
      <w:r w:rsidRPr="00AD6AC3">
        <w:t>dialektischen Spannung zu seinem Gegenprinzip der Statik, der Bewegungslosigkeit […] entwickelt wird.</w:t>
      </w:r>
      <w:r>
        <w:t>“</w:t>
      </w:r>
      <w:r>
        <w:rPr>
          <w:rStyle w:val="Funotenzeichen"/>
        </w:rPr>
        <w:footnoteReference w:id="28"/>
      </w:r>
      <w:r>
        <w:t xml:space="preserve"> </w:t>
      </w:r>
    </w:p>
    <w:p w:rsidR="00E25F05" w:rsidRPr="00E25F05" w:rsidRDefault="00743C32" w:rsidP="00743C32">
      <w:pPr>
        <w:spacing w:line="360" w:lineRule="auto"/>
        <w:jc w:val="both"/>
      </w:pPr>
      <w:r>
        <w:t xml:space="preserve">Um den Rahmen dieser Arbeit nicht zu sprengen führe ich diesen Ansatz der Bewegung bei Tykwer nicht mehr schriftlich aus, da dies wiederum ein anderes Thema, abweichend von meinem gewählten Thema, betreffen würde. Nachzulesen ist </w:t>
      </w:r>
      <w:r w:rsidR="00AD6AC3">
        <w:t xml:space="preserve">diese Theorie in </w:t>
      </w:r>
      <w:proofErr w:type="spellStart"/>
      <w:r w:rsidR="00AD6AC3">
        <w:t>Radeck</w:t>
      </w:r>
      <w:proofErr w:type="spellEnd"/>
      <w:r w:rsidR="00AD6AC3">
        <w:t xml:space="preserve"> Heikes </w:t>
      </w:r>
      <w:r w:rsidR="00AD6AC3" w:rsidRPr="00AD6AC3">
        <w:rPr>
          <w:i/>
        </w:rPr>
        <w:t>Die</w:t>
      </w:r>
      <w:r w:rsidR="00AD6AC3">
        <w:t xml:space="preserve"> </w:t>
      </w:r>
      <w:r w:rsidR="00AD6AC3">
        <w:rPr>
          <w:i/>
        </w:rPr>
        <w:t xml:space="preserve">Filmsprache Tom Tykwers </w:t>
      </w:r>
      <w:r>
        <w:rPr>
          <w:i/>
        </w:rPr>
        <w:t xml:space="preserve"> </w:t>
      </w:r>
      <w:r>
        <w:t>auf den Seiten 53 bis 62.</w:t>
      </w:r>
    </w:p>
    <w:p w:rsidR="00E25F05" w:rsidRPr="00B91811" w:rsidRDefault="00E25F05" w:rsidP="00743C32">
      <w:pPr>
        <w:spacing w:line="360" w:lineRule="auto"/>
        <w:jc w:val="both"/>
      </w:pPr>
    </w:p>
    <w:p w:rsidR="00E25F05" w:rsidRPr="00E25F05" w:rsidRDefault="00406437" w:rsidP="000144AB">
      <w:pPr>
        <w:numPr>
          <w:ilvl w:val="0"/>
          <w:numId w:val="9"/>
        </w:numPr>
        <w:spacing w:line="360" w:lineRule="auto"/>
        <w:jc w:val="both"/>
        <w:rPr>
          <w:sz w:val="28"/>
          <w:szCs w:val="28"/>
          <w:u w:val="single"/>
        </w:rPr>
      </w:pPr>
      <w:r>
        <w:rPr>
          <w:sz w:val="28"/>
          <w:szCs w:val="28"/>
          <w:u w:val="single"/>
        </w:rPr>
        <w:t>Erzähler</w:t>
      </w:r>
    </w:p>
    <w:p w:rsidR="00743C32" w:rsidRDefault="000144AB" w:rsidP="000144AB">
      <w:pPr>
        <w:spacing w:line="360" w:lineRule="auto"/>
        <w:jc w:val="both"/>
        <w:rPr>
          <w:szCs w:val="28"/>
        </w:rPr>
      </w:pPr>
      <w:r w:rsidRPr="000144AB">
        <w:rPr>
          <w:szCs w:val="28"/>
        </w:rPr>
        <w:t xml:space="preserve">Zu einer vollständigen Arbeit über einen Roman gehört auch, den Erzähler zu analysieren, das heißt, seine Erzählweise zu bearbeiten und darzustellen, wie der Erzähler in seinem Roman vorgeht: In diesem Roman wird deutlich, dass der Erzähler ein auktorialer Erzähler ist, d.h., dass er einen allwissenden Standpunkt hat. Er weiß alles über seine Figur, er kennt ihre Gedanken und Gefühle sowie die Handlungen, die sie unternimmt, das heißt auch, dass er sein Wissen über die Zeitgeschichte in seiner Erzählung einführt, der Erzähler weiß nämlich alles über das damalige und das aktuelle Frankreich und zeigt bei der Parfumherstellung </w:t>
      </w:r>
      <w:r w:rsidRPr="000144AB">
        <w:rPr>
          <w:szCs w:val="28"/>
        </w:rPr>
        <w:lastRenderedPageBreak/>
        <w:t>Kenntnisse. Er gibt sich als Zeitgenosse der Gegenwart zu erkenne</w:t>
      </w:r>
      <w:r w:rsidR="00743C32">
        <w:rPr>
          <w:szCs w:val="28"/>
        </w:rPr>
        <w:t>n, als er ganz am Anfang sagt: „</w:t>
      </w:r>
      <w:r w:rsidRPr="000144AB">
        <w:rPr>
          <w:szCs w:val="28"/>
        </w:rPr>
        <w:t xml:space="preserve">Es herrschte in den Städten ein für uns moderne Menschen </w:t>
      </w:r>
      <w:r w:rsidR="00743C32">
        <w:rPr>
          <w:szCs w:val="28"/>
        </w:rPr>
        <w:t>kaum vorstellbarer Gestank."</w:t>
      </w:r>
      <w:r w:rsidR="00743C32">
        <w:rPr>
          <w:rStyle w:val="Funotenzeichen"/>
          <w:szCs w:val="28"/>
        </w:rPr>
        <w:footnoteReference w:id="29"/>
      </w:r>
      <w:r w:rsidRPr="000144AB">
        <w:rPr>
          <w:szCs w:val="28"/>
        </w:rPr>
        <w:t xml:space="preserve"> Er vermittelt aber auch zwischen dem Leser und seinen Figuren, was auch ein Merkmal für den auktorialen Erzähler ist. Auf S.188 </w:t>
      </w:r>
      <w:r w:rsidR="00743C32">
        <w:rPr>
          <w:szCs w:val="28"/>
        </w:rPr>
        <w:t xml:space="preserve">des Romans </w:t>
      </w:r>
      <w:r w:rsidR="00743C32">
        <w:rPr>
          <w:i/>
          <w:szCs w:val="28"/>
        </w:rPr>
        <w:t xml:space="preserve">Das Parfum </w:t>
      </w:r>
      <w:r w:rsidRPr="000144AB">
        <w:rPr>
          <w:szCs w:val="28"/>
        </w:rPr>
        <w:t xml:space="preserve">fasst </w:t>
      </w:r>
      <w:r w:rsidR="00743C32">
        <w:rPr>
          <w:szCs w:val="28"/>
        </w:rPr>
        <w:t>Süskind</w:t>
      </w:r>
      <w:r w:rsidRPr="000144AB">
        <w:rPr>
          <w:szCs w:val="28"/>
        </w:rPr>
        <w:t xml:space="preserve"> z.B. Grenouilles Gestammel</w:t>
      </w:r>
      <w:r w:rsidR="00743C32">
        <w:rPr>
          <w:szCs w:val="28"/>
        </w:rPr>
        <w:t>te</w:t>
      </w:r>
      <w:r w:rsidRPr="000144AB">
        <w:rPr>
          <w:szCs w:val="28"/>
        </w:rPr>
        <w:t xml:space="preserve"> in einem ve</w:t>
      </w:r>
      <w:r w:rsidR="00743C32">
        <w:rPr>
          <w:szCs w:val="28"/>
        </w:rPr>
        <w:t xml:space="preserve">rständlichen Deutsch zusammen: </w:t>
      </w:r>
    </w:p>
    <w:p w:rsidR="00743C32" w:rsidRPr="00743C32" w:rsidRDefault="00743C32" w:rsidP="00743C32">
      <w:pPr>
        <w:spacing w:line="360" w:lineRule="auto"/>
        <w:ind w:left="708"/>
        <w:jc w:val="both"/>
        <w:rPr>
          <w:sz w:val="22"/>
        </w:rPr>
      </w:pPr>
      <w:r w:rsidRPr="00743C32">
        <w:rPr>
          <w:sz w:val="22"/>
        </w:rPr>
        <w:t>„</w:t>
      </w:r>
      <w:r w:rsidR="000144AB" w:rsidRPr="00743C32">
        <w:rPr>
          <w:sz w:val="22"/>
        </w:rPr>
        <w:t>Was wir hier der Verständlichkeit halber in ordentlicher indirekter Rede wiedergeben, war in Wirklichkeit ein halbstündiger, von</w:t>
      </w:r>
      <w:r w:rsidR="002742F2">
        <w:rPr>
          <w:sz w:val="22"/>
        </w:rPr>
        <w:t xml:space="preserve"> vielen Hustern und Keuche</w:t>
      </w:r>
      <w:r w:rsidR="000144AB" w:rsidRPr="00743C32">
        <w:rPr>
          <w:sz w:val="22"/>
        </w:rPr>
        <w:t>n und Atemnöten unterbrochener blubbernder Wortausbruch</w:t>
      </w:r>
      <w:r w:rsidR="002742F2">
        <w:rPr>
          <w:sz w:val="22"/>
        </w:rPr>
        <w:t xml:space="preserve"> [</w:t>
      </w:r>
      <w:r w:rsidR="000144AB" w:rsidRPr="00743C32">
        <w:rPr>
          <w:sz w:val="22"/>
        </w:rPr>
        <w:t>...</w:t>
      </w:r>
      <w:r w:rsidR="002742F2">
        <w:rPr>
          <w:sz w:val="22"/>
        </w:rPr>
        <w:t>]</w:t>
      </w:r>
      <w:r w:rsidR="000144AB" w:rsidRPr="00743C32">
        <w:rPr>
          <w:sz w:val="22"/>
        </w:rPr>
        <w:t>".</w:t>
      </w:r>
      <w:r w:rsidRPr="00743C32">
        <w:rPr>
          <w:rStyle w:val="Funotenzeichen"/>
          <w:sz w:val="22"/>
        </w:rPr>
        <w:footnoteReference w:id="30"/>
      </w:r>
      <w:r w:rsidR="000144AB" w:rsidRPr="00743C32">
        <w:rPr>
          <w:sz w:val="22"/>
        </w:rPr>
        <w:t xml:space="preserve"> </w:t>
      </w:r>
    </w:p>
    <w:p w:rsidR="00743C32" w:rsidRDefault="000144AB" w:rsidP="000144AB">
      <w:pPr>
        <w:spacing w:line="360" w:lineRule="auto"/>
        <w:jc w:val="both"/>
        <w:rPr>
          <w:szCs w:val="28"/>
        </w:rPr>
      </w:pPr>
      <w:r w:rsidRPr="000144AB">
        <w:rPr>
          <w:szCs w:val="28"/>
        </w:rPr>
        <w:t xml:space="preserve">Es sind auch Rückblenden im Roman vorhanden, z.B. als Grenouille bei dem </w:t>
      </w:r>
      <w:r w:rsidR="00743C32">
        <w:rPr>
          <w:szCs w:val="28"/>
        </w:rPr>
        <w:t>Gerüche B</w:t>
      </w:r>
      <w:r w:rsidR="00743C32" w:rsidRPr="000144AB">
        <w:rPr>
          <w:szCs w:val="28"/>
        </w:rPr>
        <w:t>eschwören</w:t>
      </w:r>
      <w:r w:rsidRPr="000144AB">
        <w:rPr>
          <w:szCs w:val="28"/>
        </w:rPr>
        <w:t xml:space="preserve"> in seiner Höhle an das Mädchen zurückdenkt, </w:t>
      </w:r>
      <w:r w:rsidR="00743C32">
        <w:rPr>
          <w:szCs w:val="28"/>
        </w:rPr>
        <w:t>welches</w:t>
      </w:r>
      <w:r w:rsidRPr="000144AB">
        <w:rPr>
          <w:szCs w:val="28"/>
        </w:rPr>
        <w:t xml:space="preserve"> er als erstes umgebracht hat. Dies erkennt man daran, dass Grenouille auf einmal wieder in Paris ist: </w:t>
      </w:r>
    </w:p>
    <w:p w:rsidR="00743C32" w:rsidRPr="00743C32" w:rsidRDefault="00743C32" w:rsidP="00743C32">
      <w:pPr>
        <w:spacing w:line="360" w:lineRule="auto"/>
        <w:ind w:left="708"/>
        <w:jc w:val="both"/>
        <w:rPr>
          <w:sz w:val="22"/>
        </w:rPr>
      </w:pPr>
      <w:r w:rsidRPr="00743C32">
        <w:rPr>
          <w:sz w:val="22"/>
        </w:rPr>
        <w:t>„</w:t>
      </w:r>
      <w:r w:rsidR="000144AB" w:rsidRPr="00743C32">
        <w:rPr>
          <w:sz w:val="22"/>
        </w:rPr>
        <w:t xml:space="preserve">Er ging durch den dunklen Gang von der Straße in den Hinterhof. Er ging auf den Lichtschein zu. Das Mädchen saß und schnitt Mirabellen auf. Von weit her krachten die Raketen und Petarden des Feuerwerks </w:t>
      </w:r>
      <w:r w:rsidR="002742F2">
        <w:rPr>
          <w:sz w:val="22"/>
        </w:rPr>
        <w:t>[</w:t>
      </w:r>
      <w:r w:rsidR="000144AB" w:rsidRPr="00743C32">
        <w:rPr>
          <w:sz w:val="22"/>
        </w:rPr>
        <w:t>...</w:t>
      </w:r>
      <w:r w:rsidR="002742F2">
        <w:rPr>
          <w:sz w:val="22"/>
        </w:rPr>
        <w:t>]</w:t>
      </w:r>
      <w:r w:rsidR="000144AB" w:rsidRPr="00743C32">
        <w:rPr>
          <w:sz w:val="22"/>
        </w:rPr>
        <w:t>"</w:t>
      </w:r>
      <w:r>
        <w:rPr>
          <w:rStyle w:val="Funotenzeichen"/>
          <w:sz w:val="22"/>
        </w:rPr>
        <w:footnoteReference w:id="31"/>
      </w:r>
    </w:p>
    <w:p w:rsidR="00B91811" w:rsidRDefault="00B91811" w:rsidP="000144AB">
      <w:pPr>
        <w:spacing w:line="360" w:lineRule="auto"/>
        <w:jc w:val="both"/>
        <w:rPr>
          <w:szCs w:val="28"/>
        </w:rPr>
      </w:pPr>
    </w:p>
    <w:p w:rsidR="000144AB" w:rsidRPr="000144AB" w:rsidRDefault="000144AB" w:rsidP="000144AB">
      <w:pPr>
        <w:spacing w:line="360" w:lineRule="auto"/>
        <w:jc w:val="both"/>
        <w:rPr>
          <w:szCs w:val="28"/>
        </w:rPr>
      </w:pPr>
      <w:r w:rsidRPr="000144AB">
        <w:rPr>
          <w:szCs w:val="28"/>
        </w:rPr>
        <w:t xml:space="preserve"> Außerdem macht der Erzähler immer wieder Vorausdeutungen, z.B. bei dem Schicksal, das Madame Gaillard </w:t>
      </w:r>
      <w:r w:rsidR="00743C32">
        <w:rPr>
          <w:szCs w:val="28"/>
        </w:rPr>
        <w:t>50 Jahre später ereilen wird: “[…]</w:t>
      </w:r>
      <w:r w:rsidRPr="000144AB">
        <w:rPr>
          <w:szCs w:val="28"/>
        </w:rPr>
        <w:t xml:space="preserve"> das war im Jahre 1799. Gottseidank ahnte Madame nichts von diesem ihr bevorstehenden Schicksal, als sie an jenem Tag des Jahres 1747 nach Hause ging und den Knaben Grenouille</w:t>
      </w:r>
      <w:r w:rsidR="00B91811">
        <w:rPr>
          <w:szCs w:val="28"/>
        </w:rPr>
        <w:t xml:space="preserve"> und unsere Geschichte verließ.“</w:t>
      </w:r>
      <w:r w:rsidR="00B91811">
        <w:rPr>
          <w:rStyle w:val="Funotenzeichen"/>
          <w:szCs w:val="28"/>
        </w:rPr>
        <w:footnoteReference w:id="32"/>
      </w:r>
      <w:r w:rsidRPr="000144AB">
        <w:rPr>
          <w:szCs w:val="28"/>
        </w:rPr>
        <w:t xml:space="preserve"> </w:t>
      </w:r>
    </w:p>
    <w:p w:rsidR="00B91811" w:rsidRDefault="000144AB" w:rsidP="000144AB">
      <w:pPr>
        <w:spacing w:line="360" w:lineRule="auto"/>
        <w:jc w:val="both"/>
        <w:rPr>
          <w:szCs w:val="28"/>
        </w:rPr>
      </w:pPr>
      <w:r w:rsidRPr="000144AB">
        <w:rPr>
          <w:szCs w:val="28"/>
        </w:rPr>
        <w:t xml:space="preserve">Der Erzähler kann auch an zwei Stellen gleichzeitig sein. Dies ist an der Stelle der Fall, wo Grenouille Monsieur </w:t>
      </w:r>
      <w:proofErr w:type="spellStart"/>
      <w:r w:rsidRPr="000144AB">
        <w:rPr>
          <w:szCs w:val="28"/>
        </w:rPr>
        <w:t>Richis</w:t>
      </w:r>
      <w:proofErr w:type="spellEnd"/>
      <w:r w:rsidRPr="000144AB">
        <w:rPr>
          <w:szCs w:val="28"/>
        </w:rPr>
        <w:t xml:space="preserve"> und seine Tochter verfolgt. Der Erzähler weiß genau, wo Grenouille und </w:t>
      </w:r>
      <w:proofErr w:type="spellStart"/>
      <w:r w:rsidRPr="000144AB">
        <w:rPr>
          <w:szCs w:val="28"/>
        </w:rPr>
        <w:t>Richis</w:t>
      </w:r>
      <w:proofErr w:type="spellEnd"/>
      <w:r w:rsidRPr="000144AB">
        <w:rPr>
          <w:szCs w:val="28"/>
        </w:rPr>
        <w:t xml:space="preserve"> mit seiner Tochter sich jewe</w:t>
      </w:r>
      <w:r w:rsidR="00B91811">
        <w:rPr>
          <w:szCs w:val="28"/>
        </w:rPr>
        <w:t>ils aufhalten und was sie tun: „</w:t>
      </w:r>
      <w:r w:rsidRPr="000144AB">
        <w:rPr>
          <w:szCs w:val="28"/>
        </w:rPr>
        <w:t xml:space="preserve">Zu dem Zeitpunkt, da Laure </w:t>
      </w:r>
      <w:proofErr w:type="spellStart"/>
      <w:r w:rsidRPr="000144AB">
        <w:rPr>
          <w:szCs w:val="28"/>
        </w:rPr>
        <w:t>Richis</w:t>
      </w:r>
      <w:proofErr w:type="spellEnd"/>
      <w:r w:rsidRPr="000144AB">
        <w:rPr>
          <w:szCs w:val="28"/>
        </w:rPr>
        <w:t xml:space="preserve"> mit ihrem Vater Grasse verließ, befand sich Grenoui</w:t>
      </w:r>
      <w:r w:rsidR="00B91811">
        <w:rPr>
          <w:szCs w:val="28"/>
        </w:rPr>
        <w:t>lle am anderen Ende der Stadt.</w:t>
      </w:r>
      <w:r w:rsidRPr="000144AB">
        <w:rPr>
          <w:szCs w:val="28"/>
        </w:rPr>
        <w:t>"</w:t>
      </w:r>
      <w:r w:rsidR="00B91811">
        <w:rPr>
          <w:rStyle w:val="Funotenzeichen"/>
          <w:szCs w:val="28"/>
        </w:rPr>
        <w:footnoteReference w:id="33"/>
      </w:r>
      <w:r w:rsidR="00743C32">
        <w:rPr>
          <w:szCs w:val="28"/>
        </w:rPr>
        <w:t xml:space="preserve"> </w:t>
      </w:r>
      <w:r w:rsidRPr="000144AB">
        <w:rPr>
          <w:szCs w:val="28"/>
        </w:rPr>
        <w:t>Der Erzähler verwendet drei versch</w:t>
      </w:r>
      <w:r w:rsidR="00B91811">
        <w:rPr>
          <w:szCs w:val="28"/>
        </w:rPr>
        <w:t xml:space="preserve">iedene Formen der Personenrede. Er benutzt die direkte Rede, z.B. bei der Katastrophe </w:t>
      </w:r>
      <w:r w:rsidRPr="000144AB">
        <w:rPr>
          <w:szCs w:val="28"/>
        </w:rPr>
        <w:t xml:space="preserve">als Grenouille feststellt, dass er </w:t>
      </w:r>
      <w:r w:rsidR="00B91811">
        <w:rPr>
          <w:szCs w:val="28"/>
        </w:rPr>
        <w:t>sich nicht selber riechen kann (</w:t>
      </w:r>
      <w:r w:rsidRPr="000144AB">
        <w:rPr>
          <w:szCs w:val="28"/>
        </w:rPr>
        <w:t xml:space="preserve">"Es ist nicht so, dass ich nicht rieche. Es ist vielmehr so, dass ich </w:t>
      </w:r>
      <w:r w:rsidR="00B91811">
        <w:rPr>
          <w:szCs w:val="28"/>
        </w:rPr>
        <w:t>nicht rieche, dass ich rieche […]</w:t>
      </w:r>
      <w:r w:rsidRPr="000144AB">
        <w:rPr>
          <w:szCs w:val="28"/>
        </w:rPr>
        <w:t>"</w:t>
      </w:r>
      <w:r w:rsidR="00B91811">
        <w:rPr>
          <w:rStyle w:val="Funotenzeichen"/>
          <w:szCs w:val="28"/>
        </w:rPr>
        <w:footnoteReference w:id="34"/>
      </w:r>
      <w:r w:rsidR="00B91811">
        <w:rPr>
          <w:szCs w:val="28"/>
        </w:rPr>
        <w:t>)</w:t>
      </w:r>
      <w:r w:rsidRPr="000144AB">
        <w:rPr>
          <w:szCs w:val="28"/>
        </w:rPr>
        <w:t xml:space="preserve"> Hier spricht also Grenouille selbst. Häufig kommt jedoch auch die indirekte Rede vor, d.h., dass der Erzähler seine Figuren nicht direkt miteinander sprechen lässt, sondern das Gespräch wiedergibt. Das trifft z.B. für das oben erwähnte Gestammel</w:t>
      </w:r>
      <w:r w:rsidR="00B91811">
        <w:rPr>
          <w:szCs w:val="28"/>
        </w:rPr>
        <w:t xml:space="preserve">te zu: </w:t>
      </w:r>
    </w:p>
    <w:p w:rsidR="000144AB" w:rsidRPr="00B91811" w:rsidRDefault="00B91811" w:rsidP="00B91811">
      <w:pPr>
        <w:spacing w:line="360" w:lineRule="auto"/>
        <w:ind w:left="708"/>
        <w:jc w:val="both"/>
        <w:rPr>
          <w:sz w:val="22"/>
        </w:rPr>
      </w:pPr>
      <w:r w:rsidRPr="00B91811">
        <w:rPr>
          <w:sz w:val="22"/>
        </w:rPr>
        <w:lastRenderedPageBreak/>
        <w:t xml:space="preserve">„[…] </w:t>
      </w:r>
      <w:r w:rsidR="000144AB" w:rsidRPr="00B91811">
        <w:rPr>
          <w:sz w:val="22"/>
        </w:rPr>
        <w:t>ließ er seinen Anfall abebben und erzählte mit ruhiger werdender Stimme, dass er</w:t>
      </w:r>
      <w:r w:rsidRPr="00B91811">
        <w:rPr>
          <w:sz w:val="22"/>
        </w:rPr>
        <w:t xml:space="preserve"> als Parfümeur eine berufsbeding</w:t>
      </w:r>
      <w:r w:rsidR="000144AB" w:rsidRPr="00B91811">
        <w:rPr>
          <w:sz w:val="22"/>
        </w:rPr>
        <w:t>t feine Nase besitze und immer schon, besonders aber jetzt in der Zeit der Genesung, auf gewisse Parfums seh</w:t>
      </w:r>
      <w:r w:rsidRPr="00B91811">
        <w:rPr>
          <w:sz w:val="22"/>
        </w:rPr>
        <w:t>r heftig reagiere […</w:t>
      </w:r>
      <w:proofErr w:type="gramStart"/>
      <w:r w:rsidRPr="00B91811">
        <w:rPr>
          <w:sz w:val="22"/>
        </w:rPr>
        <w:t>]</w:t>
      </w:r>
      <w:r w:rsidR="000144AB" w:rsidRPr="00B91811">
        <w:rPr>
          <w:sz w:val="22"/>
        </w:rPr>
        <w:t xml:space="preserve"> "</w:t>
      </w:r>
      <w:proofErr w:type="gramEnd"/>
      <w:r w:rsidRPr="00B91811">
        <w:rPr>
          <w:rStyle w:val="Funotenzeichen"/>
          <w:sz w:val="22"/>
        </w:rPr>
        <w:footnoteReference w:id="35"/>
      </w:r>
    </w:p>
    <w:p w:rsidR="00B91811" w:rsidRDefault="00B91811" w:rsidP="000144AB">
      <w:pPr>
        <w:spacing w:line="360" w:lineRule="auto"/>
        <w:jc w:val="both"/>
        <w:rPr>
          <w:szCs w:val="28"/>
        </w:rPr>
      </w:pPr>
    </w:p>
    <w:p w:rsidR="000144AB" w:rsidRPr="000144AB" w:rsidRDefault="000144AB" w:rsidP="000144AB">
      <w:pPr>
        <w:spacing w:line="360" w:lineRule="auto"/>
        <w:jc w:val="both"/>
        <w:rPr>
          <w:szCs w:val="28"/>
        </w:rPr>
      </w:pPr>
      <w:r w:rsidRPr="000144AB">
        <w:rPr>
          <w:szCs w:val="28"/>
        </w:rPr>
        <w:t>Sehr typisch für den Roman ist, dass der Erzähler zwischen Erzählerbericht und erlebter Rede wechselt. Das heißt, dass der Erzähler das fiktiv miterlebte, beobachtete oder in Erfahrung gebrachte Geschehen in einem kontinuierli</w:t>
      </w:r>
      <w:r w:rsidR="00B91811">
        <w:rPr>
          <w:szCs w:val="28"/>
        </w:rPr>
        <w:t>chen Zusammenhan</w:t>
      </w:r>
      <w:r w:rsidRPr="000144AB">
        <w:rPr>
          <w:szCs w:val="28"/>
        </w:rPr>
        <w:t>g referiert und dann plötzlich aus dem Bewusstsein der Wahrnehmung seiner Figur heraus schreibt. Beispiele dafür si</w:t>
      </w:r>
      <w:r w:rsidR="00B91811">
        <w:rPr>
          <w:szCs w:val="28"/>
        </w:rPr>
        <w:t>nd, als er im Kapitel 29 sagt, dass „[d]</w:t>
      </w:r>
      <w:proofErr w:type="spellStart"/>
      <w:r w:rsidR="00B91811">
        <w:rPr>
          <w:szCs w:val="28"/>
        </w:rPr>
        <w:t>ie</w:t>
      </w:r>
      <w:proofErr w:type="spellEnd"/>
      <w:r w:rsidR="00B91811">
        <w:rPr>
          <w:szCs w:val="28"/>
        </w:rPr>
        <w:t xml:space="preserve"> Katastrophe</w:t>
      </w:r>
      <w:r w:rsidRPr="000144AB">
        <w:rPr>
          <w:szCs w:val="28"/>
        </w:rPr>
        <w:t xml:space="preserve"> kein Erdbeben, kein Waldbrand, kein Bergrutsch und kein St</w:t>
      </w:r>
      <w:r w:rsidR="00B91811">
        <w:rPr>
          <w:szCs w:val="28"/>
        </w:rPr>
        <w:t>oll</w:t>
      </w:r>
      <w:r w:rsidRPr="000144AB">
        <w:rPr>
          <w:szCs w:val="28"/>
        </w:rPr>
        <w:t>eneinsturz</w:t>
      </w:r>
      <w:r w:rsidR="00B91811">
        <w:rPr>
          <w:szCs w:val="28"/>
        </w:rPr>
        <w:t xml:space="preserve"> war</w:t>
      </w:r>
      <w:r w:rsidRPr="000144AB">
        <w:rPr>
          <w:szCs w:val="28"/>
        </w:rPr>
        <w:t>."</w:t>
      </w:r>
      <w:r w:rsidR="00B91811">
        <w:rPr>
          <w:rStyle w:val="Funotenzeichen"/>
          <w:szCs w:val="28"/>
        </w:rPr>
        <w:footnoteReference w:id="36"/>
      </w:r>
      <w:r w:rsidRPr="000144AB">
        <w:rPr>
          <w:szCs w:val="28"/>
        </w:rPr>
        <w:t xml:space="preserve"> Bei diesem Beispiel kommentiert der Erzähler das Geschehen, wenn er </w:t>
      </w:r>
      <w:r w:rsidR="00B91811">
        <w:rPr>
          <w:szCs w:val="28"/>
        </w:rPr>
        <w:t>folgendes hinzufügt: „</w:t>
      </w:r>
      <w:r w:rsidRPr="000144AB">
        <w:rPr>
          <w:szCs w:val="28"/>
        </w:rPr>
        <w:t>Sie war überhaupt keine äußere Katastrophe, sondern eine innere un</w:t>
      </w:r>
      <w:r w:rsidR="00B91811">
        <w:rPr>
          <w:szCs w:val="28"/>
        </w:rPr>
        <w:t>d daher besonders peinlich […]“</w:t>
      </w:r>
      <w:r w:rsidR="00B91811">
        <w:rPr>
          <w:rStyle w:val="Funotenzeichen"/>
          <w:szCs w:val="28"/>
        </w:rPr>
        <w:footnoteReference w:id="37"/>
      </w:r>
      <w:r w:rsidR="00B91811">
        <w:rPr>
          <w:szCs w:val="28"/>
        </w:rPr>
        <w:t xml:space="preserve"> </w:t>
      </w:r>
      <w:r w:rsidRPr="000144AB">
        <w:rPr>
          <w:szCs w:val="28"/>
        </w:rPr>
        <w:t>Peinlich ist ein Ausdruck für ein Schamgefühl. Grenouille kennt jedoch weder Schuld- noch Schamgefühle. Es kann sich also nur um einen Kommentar des Erzählers zu den Ereignissen handeln, allerdings, und auch das ist typisch für den Roman, um keinen offenen, sondern um einen versteckten. Dahinter verbirgt sich die kritische Distanz des Erzählers zu seiner Figur.</w:t>
      </w:r>
      <w:r w:rsidR="00406437">
        <w:rPr>
          <w:szCs w:val="28"/>
        </w:rPr>
        <w:t xml:space="preserve"> </w:t>
      </w:r>
      <w:r w:rsidRPr="000144AB">
        <w:rPr>
          <w:szCs w:val="28"/>
        </w:rPr>
        <w:t>Etwas später macht er aber einen Übergang zur erlebten Rede und ze</w:t>
      </w:r>
      <w:r w:rsidR="00B91811">
        <w:rPr>
          <w:szCs w:val="28"/>
        </w:rPr>
        <w:t xml:space="preserve">igt dabei Grenouilles Gedanken: </w:t>
      </w:r>
      <w:r w:rsidRPr="000144AB">
        <w:rPr>
          <w:szCs w:val="28"/>
        </w:rPr>
        <w:t xml:space="preserve">"Es war doch gut, dass diese äußere Weit noch bestand, </w:t>
      </w:r>
      <w:r w:rsidR="00B91811">
        <w:rPr>
          <w:szCs w:val="28"/>
        </w:rPr>
        <w:t>und sei's nur als Fluchtpunkt."</w:t>
      </w:r>
      <w:r w:rsidR="00B91811">
        <w:rPr>
          <w:rStyle w:val="Funotenzeichen"/>
          <w:szCs w:val="28"/>
        </w:rPr>
        <w:footnoteReference w:id="38"/>
      </w:r>
    </w:p>
    <w:p w:rsidR="00B91811" w:rsidRDefault="000144AB" w:rsidP="000144AB">
      <w:pPr>
        <w:spacing w:line="360" w:lineRule="auto"/>
        <w:jc w:val="both"/>
        <w:rPr>
          <w:szCs w:val="28"/>
        </w:rPr>
      </w:pPr>
      <w:r w:rsidRPr="000144AB">
        <w:rPr>
          <w:szCs w:val="28"/>
        </w:rPr>
        <w:t>Ein anderes Beispiel für den Erzählerbericht tritt im Kapit</w:t>
      </w:r>
      <w:r w:rsidR="00B91811">
        <w:rPr>
          <w:szCs w:val="28"/>
        </w:rPr>
        <w:t>el 29 auf, als erst gesagt wird „</w:t>
      </w:r>
      <w:r w:rsidRPr="000144AB">
        <w:rPr>
          <w:szCs w:val="28"/>
        </w:rPr>
        <w:t>Er hockte sich vor die Höhle auf den Bode</w:t>
      </w:r>
      <w:r w:rsidR="00B91811">
        <w:rPr>
          <w:szCs w:val="28"/>
        </w:rPr>
        <w:t>n. Das Sonnenlicht wärmte ihn."</w:t>
      </w:r>
      <w:r w:rsidR="00B91811">
        <w:rPr>
          <w:rStyle w:val="Funotenzeichen"/>
          <w:szCs w:val="28"/>
        </w:rPr>
        <w:footnoteReference w:id="39"/>
      </w:r>
      <w:r w:rsidR="00B91811">
        <w:rPr>
          <w:szCs w:val="28"/>
        </w:rPr>
        <w:t xml:space="preserve"> Der Erzä</w:t>
      </w:r>
      <w:r w:rsidRPr="000144AB">
        <w:rPr>
          <w:szCs w:val="28"/>
        </w:rPr>
        <w:t>hlerbericht b</w:t>
      </w:r>
      <w:r w:rsidR="00B91811">
        <w:rPr>
          <w:szCs w:val="28"/>
        </w:rPr>
        <w:t>eschreibt meist die Außensicht (</w:t>
      </w:r>
      <w:r w:rsidRPr="000144AB">
        <w:rPr>
          <w:szCs w:val="28"/>
        </w:rPr>
        <w:t>"Der</w:t>
      </w:r>
      <w:r w:rsidR="00B91811">
        <w:rPr>
          <w:szCs w:val="28"/>
        </w:rPr>
        <w:t xml:space="preserve"> Wind blies kalt, und er fror")</w:t>
      </w:r>
      <w:r w:rsidRPr="000144AB">
        <w:rPr>
          <w:szCs w:val="28"/>
        </w:rPr>
        <w:t xml:space="preserve"> manchmal aber auc</w:t>
      </w:r>
      <w:r w:rsidR="00B91811">
        <w:rPr>
          <w:szCs w:val="28"/>
        </w:rPr>
        <w:t>h die Innensicht</w:t>
      </w:r>
      <w:r w:rsidRPr="000144AB">
        <w:rPr>
          <w:szCs w:val="28"/>
        </w:rPr>
        <w:t xml:space="preserve"> </w:t>
      </w:r>
      <w:r w:rsidR="00B91811">
        <w:rPr>
          <w:szCs w:val="28"/>
        </w:rPr>
        <w:t xml:space="preserve">("[…] </w:t>
      </w:r>
      <w:r w:rsidRPr="000144AB">
        <w:rPr>
          <w:szCs w:val="28"/>
        </w:rPr>
        <w:t>aber er merkte nicht, dass er fror, denn in ihm war eine Gegenkälte, nämlich Angst."</w:t>
      </w:r>
      <w:r w:rsidR="00B91811">
        <w:rPr>
          <w:szCs w:val="28"/>
        </w:rPr>
        <w:t>]</w:t>
      </w:r>
      <w:r w:rsidR="00B91811">
        <w:rPr>
          <w:rStyle w:val="Funotenzeichen"/>
          <w:szCs w:val="28"/>
        </w:rPr>
        <w:footnoteReference w:id="40"/>
      </w:r>
      <w:r w:rsidRPr="000144AB">
        <w:rPr>
          <w:szCs w:val="28"/>
        </w:rPr>
        <w:t>. Die erlebte Rede beschreibt nur die Innensicht. Die Innensicht ist die Erzählperspektive, bei der der Erzähler in das Innere der Personen hineinsehen kann. Er kennt somit Gedanken, Gefühle und Vorstellungen des jeweiligen Charakters, so wie es in dem Roman häufig der Fall ist. Die Innensicht kann auch durch den inneren Monolog dargestellt werden, der unausgesprochene Gedanken und Ahnungen einer handelnden Person wiedergibt. Dies geschieht - im Gegensatz zur erlebten Rede - in der Ich-Form, was in diesem Roman kaum vorkommt, denn hier überwiegt die erlebte Rede, die die Gedanken in der Er- oder Sie-Form wiedergibt.</w:t>
      </w:r>
      <w:r w:rsidR="00E9180A">
        <w:rPr>
          <w:szCs w:val="28"/>
        </w:rPr>
        <w:t xml:space="preserve"> </w:t>
      </w:r>
    </w:p>
    <w:p w:rsidR="000144AB" w:rsidRDefault="000144AB" w:rsidP="000144AB">
      <w:pPr>
        <w:spacing w:line="360" w:lineRule="auto"/>
        <w:jc w:val="both"/>
        <w:rPr>
          <w:szCs w:val="28"/>
        </w:rPr>
      </w:pPr>
      <w:r w:rsidRPr="000144AB">
        <w:rPr>
          <w:szCs w:val="28"/>
        </w:rPr>
        <w:lastRenderedPageBreak/>
        <w:t xml:space="preserve">Eine Besonderheit des Erzählstils ist die Stelle des Romans, in der das Gespräch zwischen </w:t>
      </w:r>
      <w:proofErr w:type="spellStart"/>
      <w:r w:rsidRPr="000144AB">
        <w:rPr>
          <w:szCs w:val="28"/>
        </w:rPr>
        <w:t>Baldini</w:t>
      </w:r>
      <w:proofErr w:type="spellEnd"/>
      <w:r w:rsidRPr="000144AB">
        <w:rPr>
          <w:szCs w:val="28"/>
        </w:rPr>
        <w:t xml:space="preserve"> und seinem Gesellen </w:t>
      </w:r>
      <w:proofErr w:type="spellStart"/>
      <w:r w:rsidRPr="000144AB">
        <w:rPr>
          <w:szCs w:val="28"/>
        </w:rPr>
        <w:t>Chénier</w:t>
      </w:r>
      <w:proofErr w:type="spellEnd"/>
      <w:r w:rsidRPr="000144AB">
        <w:rPr>
          <w:szCs w:val="28"/>
        </w:rPr>
        <w:t xml:space="preserve"> im Dialog präsentiert wird. Der Erzähler tritt hier hi</w:t>
      </w:r>
      <w:r w:rsidR="00B91811">
        <w:rPr>
          <w:szCs w:val="28"/>
        </w:rPr>
        <w:t>nter die Figuren völlig zurück.</w:t>
      </w:r>
      <w:r w:rsidR="00B91811">
        <w:rPr>
          <w:rStyle w:val="Funotenzeichen"/>
          <w:szCs w:val="28"/>
        </w:rPr>
        <w:footnoteReference w:id="41"/>
      </w:r>
      <w:r w:rsidR="00B91811">
        <w:rPr>
          <w:szCs w:val="28"/>
        </w:rPr>
        <w:t xml:space="preserve"> </w:t>
      </w:r>
      <w:r w:rsidRPr="000144AB">
        <w:rPr>
          <w:szCs w:val="28"/>
        </w:rPr>
        <w:t>In dem Roman haben wir sichtlich eine Zeitraffung, denn die erzählte Zeit von rund 29 Jahren, also von Grenouilles Geburt bis zu seinem Tode</w:t>
      </w:r>
      <w:r w:rsidR="00B91811">
        <w:rPr>
          <w:szCs w:val="28"/>
        </w:rPr>
        <w:t>, übertrifft bei weitem die Erzä</w:t>
      </w:r>
      <w:r w:rsidRPr="000144AB">
        <w:rPr>
          <w:szCs w:val="28"/>
        </w:rPr>
        <w:t>hlzeit, also die Zeit, die man braucht, um den Roman zu lesen. In einigen Szenen herrscht jedoch Zeitdeckung, z.B. im oben erwähnten Dialog oder bei der Befragung von Greno</w:t>
      </w:r>
      <w:r w:rsidR="00B91811">
        <w:rPr>
          <w:szCs w:val="28"/>
        </w:rPr>
        <w:t>uilles Mutter nach seiner Geburt</w:t>
      </w:r>
      <w:r w:rsidRPr="000144AB">
        <w:rPr>
          <w:szCs w:val="28"/>
        </w:rPr>
        <w:t>.</w:t>
      </w:r>
      <w:r w:rsidR="00B91811">
        <w:rPr>
          <w:rStyle w:val="Funotenzeichen"/>
          <w:szCs w:val="28"/>
        </w:rPr>
        <w:footnoteReference w:id="42"/>
      </w:r>
      <w:r w:rsidRPr="000144AB">
        <w:rPr>
          <w:szCs w:val="28"/>
        </w:rPr>
        <w:t xml:space="preserve"> Eine Zeitdehnung kommt bei Schlüsselszenen vor, z.B. als Grenouille seinen Schrei ausstößt nach seiner Erkenntnis, </w:t>
      </w:r>
      <w:r w:rsidR="00B91811">
        <w:rPr>
          <w:szCs w:val="28"/>
        </w:rPr>
        <w:t>dass er keinen Eigengeruch hat.</w:t>
      </w:r>
      <w:r w:rsidR="00B91811">
        <w:rPr>
          <w:rStyle w:val="Funotenzeichen"/>
          <w:szCs w:val="28"/>
        </w:rPr>
        <w:footnoteReference w:id="43"/>
      </w:r>
    </w:p>
    <w:p w:rsidR="00855A95" w:rsidRDefault="00855A95" w:rsidP="00372240">
      <w:pPr>
        <w:spacing w:line="360" w:lineRule="auto"/>
        <w:jc w:val="both"/>
      </w:pPr>
    </w:p>
    <w:p w:rsidR="00855A95" w:rsidRDefault="00855A95" w:rsidP="00855A95">
      <w:pPr>
        <w:pStyle w:val="Listenabsatz"/>
        <w:numPr>
          <w:ilvl w:val="0"/>
          <w:numId w:val="11"/>
        </w:numPr>
        <w:spacing w:line="360" w:lineRule="auto"/>
        <w:jc w:val="both"/>
        <w:rPr>
          <w:sz w:val="28"/>
          <w:szCs w:val="28"/>
          <w:lang w:eastAsia="de-DE"/>
        </w:rPr>
      </w:pPr>
      <w:r>
        <w:rPr>
          <w:sz w:val="28"/>
          <w:szCs w:val="28"/>
          <w:lang w:eastAsia="de-DE"/>
        </w:rPr>
        <w:t>Fazit/Ausblick</w:t>
      </w:r>
    </w:p>
    <w:p w:rsidR="00855A95" w:rsidRDefault="00557DBC" w:rsidP="00855A95">
      <w:pPr>
        <w:spacing w:line="360" w:lineRule="auto"/>
        <w:jc w:val="both"/>
        <w:rPr>
          <w:szCs w:val="28"/>
          <w:lang w:eastAsia="de-DE"/>
        </w:rPr>
      </w:pPr>
      <w:r>
        <w:rPr>
          <w:szCs w:val="28"/>
          <w:lang w:eastAsia="de-DE"/>
        </w:rPr>
        <w:t xml:space="preserve">Unabdingbar </w:t>
      </w:r>
      <w:r w:rsidR="00613A25">
        <w:rPr>
          <w:szCs w:val="28"/>
          <w:lang w:eastAsia="de-DE"/>
        </w:rPr>
        <w:t xml:space="preserve">für diesen essayistischen Abstract ist die Nennung der Bedeutung des Frames, des Rahmens. Der Rahmen eines Filmes sind Anfang und Ende, sie engen den Film zeitlich und örtlich ein. Der Rezipient weiß, dass er im Kinosaal sitzt und dass ab Beginn des Films dieser startet und dass mit Ende bzw. Abspann der Film endet. Mit Anfang wird meist die Einführung in die Erzählung benannt, das Auftauchen des Titels, die einspielende Musik oder ein Off-Erzähler fungieren dabei als Hilfsmittel zur Kennzeichnung des Filmbeginns. Das Ende wird überwiegend mit einem geschlossenen Finish eingeleitet. Entweder geht die Erzählung gut aus oder schlecht. Der Anfang eines Films dient als Einführung, Hauptteil als Spannungssteigerung und kurz vor Schluss wird die Suspense der Erzählung durch den Plot, Hindernisse und Entscheidungen der Figuren noch gesteigert. Das Ende dient dabei </w:t>
      </w:r>
      <w:r w:rsidR="00FF1528">
        <w:rPr>
          <w:szCs w:val="28"/>
          <w:lang w:eastAsia="de-DE"/>
        </w:rPr>
        <w:t xml:space="preserve">als </w:t>
      </w:r>
      <w:r w:rsidR="00613A25">
        <w:rPr>
          <w:szCs w:val="28"/>
          <w:lang w:eastAsia="de-DE"/>
        </w:rPr>
        <w:t>Ruhepunkt zum Ausklingen der Handlung, zum  Verabschieden von den Personen oder als V</w:t>
      </w:r>
      <w:r>
        <w:rPr>
          <w:szCs w:val="28"/>
          <w:lang w:eastAsia="de-DE"/>
        </w:rPr>
        <w:t xml:space="preserve">erweis für nachfolgende Filme.  </w:t>
      </w:r>
      <w:r w:rsidR="00E604B4">
        <w:rPr>
          <w:szCs w:val="28"/>
          <w:lang w:eastAsia="de-DE"/>
        </w:rPr>
        <w:t>Der Rahmen bildet also erst den Unterschied zwischen der Wahrnehmung von wirklichen Objekten und der Wahrnehmung von Bildern.</w:t>
      </w:r>
      <w:r w:rsidR="006556BA">
        <w:rPr>
          <w:szCs w:val="28"/>
          <w:lang w:eastAsia="de-DE"/>
        </w:rPr>
        <w:t xml:space="preserve"> Stephen Heath beschreibt dabei den Raum des Rahmens als konstruierten erzählerischen Raum:</w:t>
      </w:r>
    </w:p>
    <w:p w:rsidR="006556BA" w:rsidRPr="006556BA" w:rsidRDefault="006556BA" w:rsidP="006556BA">
      <w:pPr>
        <w:spacing w:line="360" w:lineRule="auto"/>
        <w:ind w:left="708"/>
        <w:jc w:val="both"/>
        <w:rPr>
          <w:szCs w:val="28"/>
          <w:lang w:val="en-US" w:eastAsia="de-DE"/>
        </w:rPr>
      </w:pPr>
      <w:r w:rsidRPr="006556BA">
        <w:rPr>
          <w:szCs w:val="28"/>
          <w:lang w:val="en-US" w:eastAsia="de-DE"/>
        </w:rPr>
        <w:t>„In fact, composition will o</w:t>
      </w:r>
      <w:r>
        <w:rPr>
          <w:szCs w:val="28"/>
          <w:lang w:val="en-US" w:eastAsia="de-DE"/>
        </w:rPr>
        <w:t xml:space="preserve">rganize the frame in function of the human figures in their actions; what enters cinema is </w:t>
      </w:r>
      <w:proofErr w:type="gramStart"/>
      <w:r>
        <w:rPr>
          <w:szCs w:val="28"/>
          <w:lang w:val="en-US" w:eastAsia="de-DE"/>
        </w:rPr>
        <w:t>a logic</w:t>
      </w:r>
      <w:proofErr w:type="gramEnd"/>
      <w:r>
        <w:rPr>
          <w:szCs w:val="28"/>
          <w:lang w:val="en-US" w:eastAsia="de-DE"/>
        </w:rPr>
        <w:t xml:space="preserve"> of movement and it is this logic that centres the frame. Frame space, I other words, is constructed as narrative space.”</w:t>
      </w:r>
      <w:r>
        <w:rPr>
          <w:rStyle w:val="Funotenzeichen"/>
          <w:szCs w:val="28"/>
          <w:lang w:val="en-US" w:eastAsia="de-DE"/>
        </w:rPr>
        <w:footnoteReference w:id="44"/>
      </w:r>
      <w:r>
        <w:rPr>
          <w:szCs w:val="28"/>
          <w:lang w:val="en-US" w:eastAsia="de-DE"/>
        </w:rPr>
        <w:t xml:space="preserve"> </w:t>
      </w:r>
    </w:p>
    <w:p w:rsidR="00FF1528" w:rsidRPr="00557DBC" w:rsidRDefault="00557DBC" w:rsidP="00855A95">
      <w:pPr>
        <w:spacing w:line="360" w:lineRule="auto"/>
        <w:jc w:val="both"/>
        <w:rPr>
          <w:szCs w:val="28"/>
          <w:lang w:eastAsia="de-DE"/>
        </w:rPr>
      </w:pPr>
      <w:r w:rsidRPr="00557DBC">
        <w:rPr>
          <w:szCs w:val="28"/>
          <w:lang w:eastAsia="de-DE"/>
        </w:rPr>
        <w:t xml:space="preserve">Hier wird deutlich, dass </w:t>
      </w:r>
      <w:r>
        <w:rPr>
          <w:szCs w:val="28"/>
          <w:lang w:eastAsia="de-DE"/>
        </w:rPr>
        <w:t>die Erzählung im Film die Auswahl des Rahmens bestimmt, und diese den filmischen Raum zum narrativen Raum wandelt und somit das Erzählen mit Bildern arrangiert.</w:t>
      </w:r>
      <w:r>
        <w:rPr>
          <w:rStyle w:val="Funotenzeichen"/>
          <w:szCs w:val="28"/>
          <w:lang w:eastAsia="de-DE"/>
        </w:rPr>
        <w:footnoteReference w:id="45"/>
      </w:r>
      <w:r>
        <w:rPr>
          <w:szCs w:val="28"/>
          <w:lang w:eastAsia="de-DE"/>
        </w:rPr>
        <w:t xml:space="preserve"> </w:t>
      </w:r>
    </w:p>
    <w:p w:rsidR="002F63C3" w:rsidRDefault="002F63C3" w:rsidP="002F63C3">
      <w:pPr>
        <w:pStyle w:val="Listenabsatz"/>
        <w:numPr>
          <w:ilvl w:val="0"/>
          <w:numId w:val="11"/>
        </w:numPr>
        <w:spacing w:line="360" w:lineRule="auto"/>
        <w:jc w:val="both"/>
        <w:rPr>
          <w:sz w:val="28"/>
          <w:szCs w:val="28"/>
          <w:lang w:eastAsia="de-DE"/>
        </w:rPr>
      </w:pPr>
      <w:r>
        <w:rPr>
          <w:sz w:val="28"/>
          <w:szCs w:val="28"/>
          <w:lang w:eastAsia="de-DE"/>
        </w:rPr>
        <w:lastRenderedPageBreak/>
        <w:t>Conclusio</w:t>
      </w:r>
      <w:r>
        <w:rPr>
          <w:sz w:val="28"/>
          <w:szCs w:val="28"/>
          <w:lang w:eastAsia="de-DE"/>
        </w:rPr>
        <w:tab/>
      </w:r>
      <w:r>
        <w:rPr>
          <w:sz w:val="28"/>
          <w:szCs w:val="28"/>
          <w:lang w:eastAsia="de-DE"/>
        </w:rPr>
        <w:tab/>
      </w:r>
      <w:r>
        <w:rPr>
          <w:sz w:val="28"/>
          <w:szCs w:val="28"/>
          <w:lang w:eastAsia="de-DE"/>
        </w:rPr>
        <w:tab/>
      </w:r>
      <w:r>
        <w:rPr>
          <w:sz w:val="28"/>
          <w:szCs w:val="28"/>
          <w:lang w:eastAsia="de-DE"/>
        </w:rPr>
        <w:tab/>
      </w:r>
      <w:r>
        <w:rPr>
          <w:sz w:val="28"/>
          <w:szCs w:val="28"/>
          <w:lang w:eastAsia="de-DE"/>
        </w:rPr>
        <w:tab/>
      </w:r>
      <w:r>
        <w:rPr>
          <w:sz w:val="28"/>
          <w:szCs w:val="28"/>
          <w:lang w:eastAsia="de-DE"/>
        </w:rPr>
        <w:tab/>
      </w:r>
      <w:r>
        <w:rPr>
          <w:sz w:val="28"/>
          <w:szCs w:val="28"/>
          <w:lang w:eastAsia="de-DE"/>
        </w:rPr>
        <w:tab/>
      </w:r>
    </w:p>
    <w:p w:rsidR="002F63C3" w:rsidRDefault="002F63C3" w:rsidP="002F63C3">
      <w:pPr>
        <w:spacing w:line="360" w:lineRule="auto"/>
        <w:jc w:val="both"/>
        <w:rPr>
          <w:szCs w:val="28"/>
          <w:lang w:eastAsia="de-DE"/>
        </w:rPr>
      </w:pPr>
    </w:p>
    <w:p w:rsidR="002F63C3" w:rsidRDefault="008C5E5D" w:rsidP="002F63C3">
      <w:pPr>
        <w:spacing w:line="360" w:lineRule="auto"/>
        <w:jc w:val="both"/>
        <w:rPr>
          <w:szCs w:val="28"/>
          <w:lang w:eastAsia="de-DE"/>
        </w:rPr>
      </w:pPr>
      <w:r>
        <w:rPr>
          <w:szCs w:val="28"/>
          <w:lang w:eastAsia="de-DE"/>
        </w:rPr>
        <w:t>Nach eingehender Beschäftigung mit speziell Anfang und Ende in Bezug auf  Narrativität des Romans und seiner Verfilmung, stellte die Verfasserin folgendes fest:</w:t>
      </w:r>
    </w:p>
    <w:p w:rsidR="0066623C" w:rsidRDefault="0066623C" w:rsidP="002F63C3">
      <w:pPr>
        <w:spacing w:line="360" w:lineRule="auto"/>
        <w:jc w:val="both"/>
        <w:rPr>
          <w:szCs w:val="28"/>
          <w:lang w:eastAsia="de-DE"/>
        </w:rPr>
      </w:pPr>
    </w:p>
    <w:p w:rsidR="008C5E5D" w:rsidRDefault="008C5E5D" w:rsidP="008C5E5D">
      <w:pPr>
        <w:pStyle w:val="Listenabsatz"/>
        <w:numPr>
          <w:ilvl w:val="0"/>
          <w:numId w:val="14"/>
        </w:numPr>
        <w:spacing w:line="360" w:lineRule="auto"/>
        <w:jc w:val="both"/>
        <w:rPr>
          <w:szCs w:val="28"/>
          <w:lang w:eastAsia="de-DE"/>
        </w:rPr>
      </w:pPr>
      <w:r>
        <w:rPr>
          <w:szCs w:val="28"/>
          <w:lang w:eastAsia="de-DE"/>
        </w:rPr>
        <w:t xml:space="preserve">Sowohl Roman, als auch Verfilmung weisen bemerkenswerte Strategien zu Einführung der Handlung auf. Der Roman trumpft </w:t>
      </w:r>
      <w:r w:rsidR="00037B01">
        <w:rPr>
          <w:szCs w:val="28"/>
          <w:lang w:eastAsia="de-DE"/>
        </w:rPr>
        <w:t xml:space="preserve">durch </w:t>
      </w:r>
      <w:r>
        <w:rPr>
          <w:szCs w:val="28"/>
          <w:lang w:eastAsia="de-DE"/>
        </w:rPr>
        <w:t xml:space="preserve">Detailvielfalt, </w:t>
      </w:r>
      <w:r w:rsidR="00037B01">
        <w:rPr>
          <w:szCs w:val="28"/>
          <w:lang w:eastAsia="de-DE"/>
        </w:rPr>
        <w:t>Miteinbeziehung des Lesers</w:t>
      </w:r>
      <w:r>
        <w:rPr>
          <w:szCs w:val="28"/>
          <w:lang w:eastAsia="de-DE"/>
        </w:rPr>
        <w:t xml:space="preserve"> sowie durch das Deduktiv-Induktiv- Prinzip.</w:t>
      </w:r>
      <w:r w:rsidR="00037B01">
        <w:rPr>
          <w:szCs w:val="28"/>
          <w:lang w:eastAsia="de-DE"/>
        </w:rPr>
        <w:t xml:space="preserve"> Er geht vom stinkenden 18. Jahrhundert über in das stinkende Paris zum stinkendsten Ort der Welt, dem Friedhof, und dort trifft der Rezipient auf Grenouille. Der Film begeistert durch Spannungsaufbau und direktem Einstieg in das Geschehen durch die Verschiebung der Chronologie. Der Beginn von Grenouilles Ende im Kerker und sein Weg zum Schafott werden gezeigt. Erst dann starten Vorspann und Schriftzüge die Vorgeschichte Grenouilles.</w:t>
      </w:r>
    </w:p>
    <w:p w:rsidR="00557DBC" w:rsidRDefault="00557DBC" w:rsidP="00557DBC">
      <w:pPr>
        <w:pStyle w:val="Listenabsatz"/>
        <w:spacing w:line="360" w:lineRule="auto"/>
        <w:jc w:val="both"/>
        <w:rPr>
          <w:szCs w:val="28"/>
          <w:lang w:eastAsia="de-DE"/>
        </w:rPr>
      </w:pPr>
    </w:p>
    <w:p w:rsidR="00037B01" w:rsidRDefault="00557DBC" w:rsidP="008C5E5D">
      <w:pPr>
        <w:pStyle w:val="Listenabsatz"/>
        <w:numPr>
          <w:ilvl w:val="0"/>
          <w:numId w:val="14"/>
        </w:numPr>
        <w:spacing w:line="360" w:lineRule="auto"/>
        <w:jc w:val="both"/>
        <w:rPr>
          <w:szCs w:val="28"/>
          <w:lang w:eastAsia="de-DE"/>
        </w:rPr>
      </w:pPr>
      <w:r>
        <w:rPr>
          <w:szCs w:val="28"/>
          <w:lang w:eastAsia="de-DE"/>
        </w:rPr>
        <w:t xml:space="preserve">Der Frame der Erzählung über Grenouilles Leben wird durch Anfang und Ende des Films gekennzeichnet. Speziell ist hier, dass der Anfang einen Teil des Endes wiedergibt und somit schon vordergründig auf ein mögliches Finale bezüglich Grenouilles Leben verweist. Der Film startet im Gegensatz zum Roman mit einer differenten narrativen Raum. Der erste narrative Roman im Film ist ein Teil des Endes, der erste narrative Bereich im Roman ist die erste Einführung des Erzählers und der Beginn der Geschichte von vorne nach hinten. Der Film geht von hinten nach vorne und wieder nach hinten. Die Romanebene des Plots konstruiert sich als Anfang – Mitte – Ende 1- Ende 2, die Filmebene als Ende 1 – Anfang – Mitte – Ende 1 (Wiederholung) – Ende 2. </w:t>
      </w:r>
    </w:p>
    <w:p w:rsidR="001A3F89" w:rsidRDefault="001A3F89" w:rsidP="001A3F89">
      <w:pPr>
        <w:pStyle w:val="Listenabsatz"/>
        <w:spacing w:line="360" w:lineRule="auto"/>
        <w:jc w:val="both"/>
        <w:rPr>
          <w:szCs w:val="28"/>
          <w:lang w:eastAsia="de-DE"/>
        </w:rPr>
      </w:pPr>
    </w:p>
    <w:p w:rsidR="00743C32" w:rsidRDefault="00743C32" w:rsidP="002F63C3">
      <w:pPr>
        <w:spacing w:line="360" w:lineRule="auto"/>
        <w:jc w:val="both"/>
        <w:rPr>
          <w:szCs w:val="28"/>
          <w:lang w:eastAsia="de-DE"/>
        </w:rPr>
      </w:pPr>
    </w:p>
    <w:p w:rsidR="00743C32" w:rsidRDefault="00743C32" w:rsidP="002F63C3">
      <w:pPr>
        <w:spacing w:line="360" w:lineRule="auto"/>
        <w:jc w:val="both"/>
        <w:rPr>
          <w:szCs w:val="28"/>
          <w:lang w:eastAsia="de-DE"/>
        </w:rPr>
      </w:pPr>
    </w:p>
    <w:p w:rsidR="00743C32" w:rsidRDefault="00743C32" w:rsidP="002F63C3">
      <w:pPr>
        <w:spacing w:line="360" w:lineRule="auto"/>
        <w:jc w:val="both"/>
        <w:rPr>
          <w:szCs w:val="28"/>
          <w:lang w:eastAsia="de-DE"/>
        </w:rPr>
      </w:pPr>
    </w:p>
    <w:p w:rsidR="00743C32" w:rsidRDefault="00743C32" w:rsidP="002F63C3">
      <w:pPr>
        <w:spacing w:line="360" w:lineRule="auto"/>
        <w:jc w:val="both"/>
        <w:rPr>
          <w:szCs w:val="28"/>
          <w:lang w:eastAsia="de-DE"/>
        </w:rPr>
      </w:pPr>
    </w:p>
    <w:p w:rsidR="00743C32" w:rsidRDefault="00743C32" w:rsidP="002F63C3">
      <w:pPr>
        <w:spacing w:line="360" w:lineRule="auto"/>
        <w:jc w:val="both"/>
        <w:rPr>
          <w:szCs w:val="28"/>
          <w:lang w:eastAsia="de-DE"/>
        </w:rPr>
      </w:pPr>
    </w:p>
    <w:p w:rsidR="002F63C3" w:rsidRPr="002F63C3" w:rsidRDefault="002F63C3" w:rsidP="002F63C3">
      <w:pPr>
        <w:spacing w:line="360" w:lineRule="auto"/>
        <w:jc w:val="both"/>
        <w:rPr>
          <w:szCs w:val="28"/>
          <w:lang w:eastAsia="de-DE"/>
        </w:rPr>
      </w:pPr>
    </w:p>
    <w:p w:rsidR="002F63C3" w:rsidRPr="004D02FD" w:rsidRDefault="002F63C3" w:rsidP="002F63C3">
      <w:pPr>
        <w:pStyle w:val="Listenabsatz"/>
        <w:numPr>
          <w:ilvl w:val="0"/>
          <w:numId w:val="11"/>
        </w:numPr>
        <w:spacing w:line="360" w:lineRule="auto"/>
        <w:jc w:val="both"/>
        <w:rPr>
          <w:sz w:val="28"/>
          <w:szCs w:val="28"/>
          <w:lang w:val="de-DE" w:eastAsia="de-DE"/>
        </w:rPr>
      </w:pPr>
      <w:r>
        <w:rPr>
          <w:sz w:val="28"/>
          <w:szCs w:val="28"/>
          <w:lang w:val="de-DE" w:eastAsia="de-DE"/>
        </w:rPr>
        <w:lastRenderedPageBreak/>
        <w:t>Quellenverzeichnis</w:t>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r>
      <w:r>
        <w:rPr>
          <w:sz w:val="28"/>
          <w:szCs w:val="28"/>
          <w:lang w:val="de-DE" w:eastAsia="de-DE"/>
        </w:rPr>
        <w:tab/>
        <w:t xml:space="preserve"> </w:t>
      </w:r>
    </w:p>
    <w:p w:rsidR="002F63C3" w:rsidRPr="002F63C3" w:rsidRDefault="002F63C3" w:rsidP="002F63C3">
      <w:pPr>
        <w:pStyle w:val="Listenabsatz"/>
        <w:numPr>
          <w:ilvl w:val="0"/>
          <w:numId w:val="12"/>
        </w:numPr>
        <w:spacing w:line="360" w:lineRule="auto"/>
        <w:jc w:val="both"/>
        <w:rPr>
          <w:u w:val="single"/>
        </w:rPr>
      </w:pPr>
      <w:r>
        <w:rPr>
          <w:u w:val="single"/>
          <w:shd w:val="clear" w:color="auto" w:fill="00FFFF"/>
        </w:rPr>
        <w:t>Bibliographie</w:t>
      </w:r>
      <w:r>
        <w:tab/>
      </w:r>
      <w:r>
        <w:tab/>
      </w:r>
      <w:r>
        <w:tab/>
      </w:r>
      <w:r>
        <w:tab/>
      </w:r>
      <w:r>
        <w:tab/>
      </w:r>
      <w:r>
        <w:tab/>
      </w:r>
      <w:r>
        <w:tab/>
      </w:r>
    </w:p>
    <w:p w:rsidR="00BC7162" w:rsidRPr="0066623C" w:rsidRDefault="00BC7162" w:rsidP="00BC7162">
      <w:pPr>
        <w:jc w:val="both"/>
        <w:rPr>
          <w:color w:val="auto"/>
        </w:rPr>
      </w:pPr>
      <w:proofErr w:type="spellStart"/>
      <w:r w:rsidRPr="0066623C">
        <w:rPr>
          <w:color w:val="auto"/>
        </w:rPr>
        <w:t>Albersmeier</w:t>
      </w:r>
      <w:proofErr w:type="spellEnd"/>
      <w:r w:rsidRPr="0066623C">
        <w:rPr>
          <w:color w:val="auto"/>
        </w:rPr>
        <w:t xml:space="preserve">, Franz-Joseph: </w:t>
      </w:r>
      <w:r w:rsidRPr="0066623C">
        <w:rPr>
          <w:iCs/>
          <w:color w:val="auto"/>
        </w:rPr>
        <w:t>Literaturverfilmungen</w:t>
      </w:r>
      <w:r w:rsidRPr="0066623C">
        <w:rPr>
          <w:color w:val="auto"/>
        </w:rPr>
        <w:t>., Frankfurt/Main: Suhrkamp 1989</w:t>
      </w:r>
    </w:p>
    <w:p w:rsidR="00BC7162" w:rsidRPr="0066623C" w:rsidRDefault="00BC7162" w:rsidP="00BC7162">
      <w:pPr>
        <w:jc w:val="both"/>
        <w:rPr>
          <w:color w:val="auto"/>
        </w:rPr>
      </w:pPr>
    </w:p>
    <w:p w:rsidR="002F63C3" w:rsidRPr="0066623C" w:rsidRDefault="00BC7162" w:rsidP="00BC7162">
      <w:pPr>
        <w:jc w:val="both"/>
        <w:rPr>
          <w:color w:val="auto"/>
        </w:rPr>
      </w:pPr>
      <w:proofErr w:type="spellStart"/>
      <w:r w:rsidRPr="0066623C">
        <w:rPr>
          <w:color w:val="auto"/>
        </w:rPr>
        <w:t>Albersmeier</w:t>
      </w:r>
      <w:proofErr w:type="spellEnd"/>
      <w:r w:rsidRPr="0066623C">
        <w:rPr>
          <w:color w:val="auto"/>
        </w:rPr>
        <w:t xml:space="preserve">, Franz-Joseph: </w:t>
      </w:r>
      <w:r w:rsidR="002F63C3" w:rsidRPr="0066623C">
        <w:rPr>
          <w:iCs/>
          <w:color w:val="auto"/>
        </w:rPr>
        <w:t>Von der Literatur zum Film. Zur Geschichte der Adaptionsproblematik.</w:t>
      </w:r>
      <w:r w:rsidRPr="0066623C">
        <w:rPr>
          <w:iCs/>
          <w:color w:val="auto"/>
        </w:rPr>
        <w:t xml:space="preserve">, </w:t>
      </w:r>
      <w:r w:rsidR="002F63C3" w:rsidRPr="0066623C">
        <w:rPr>
          <w:color w:val="auto"/>
        </w:rPr>
        <w:t xml:space="preserve"> </w:t>
      </w:r>
      <w:r w:rsidRPr="0066623C">
        <w:rPr>
          <w:color w:val="auto"/>
        </w:rPr>
        <w:t xml:space="preserve">In: </w:t>
      </w:r>
      <w:proofErr w:type="spellStart"/>
      <w:r w:rsidRPr="0066623C">
        <w:rPr>
          <w:color w:val="auto"/>
        </w:rPr>
        <w:t>Albersmeier</w:t>
      </w:r>
      <w:proofErr w:type="spellEnd"/>
      <w:r w:rsidRPr="0066623C">
        <w:rPr>
          <w:color w:val="auto"/>
        </w:rPr>
        <w:t xml:space="preserve">, Franz-Joseph: </w:t>
      </w:r>
      <w:r w:rsidR="002F63C3" w:rsidRPr="0066623C">
        <w:rPr>
          <w:iCs/>
          <w:color w:val="auto"/>
        </w:rPr>
        <w:t>Literaturverfilmungen</w:t>
      </w:r>
      <w:r w:rsidRPr="0066623C">
        <w:rPr>
          <w:color w:val="auto"/>
        </w:rPr>
        <w:t>.</w:t>
      </w:r>
      <w:r w:rsidR="002F63C3" w:rsidRPr="0066623C">
        <w:rPr>
          <w:color w:val="auto"/>
        </w:rPr>
        <w:t>, Frankfurt/Main: Suhrkamp 1989</w:t>
      </w:r>
    </w:p>
    <w:p w:rsidR="00BC7162" w:rsidRPr="0066623C" w:rsidRDefault="00BC7162" w:rsidP="00BC7162">
      <w:pPr>
        <w:jc w:val="both"/>
        <w:rPr>
          <w:color w:val="auto"/>
        </w:rPr>
      </w:pPr>
    </w:p>
    <w:p w:rsidR="001A3F89" w:rsidRPr="0066623C" w:rsidRDefault="001A3F89" w:rsidP="00BC7162">
      <w:pPr>
        <w:jc w:val="both"/>
        <w:rPr>
          <w:color w:val="auto"/>
        </w:rPr>
      </w:pPr>
      <w:r w:rsidRPr="0066623C">
        <w:rPr>
          <w:color w:val="auto"/>
        </w:rPr>
        <w:t>Bach, Michaela: Erzählperspektive im Film. Eine erzähltheoretische Untersuchung mithilfe exemplarischer Filmanalysen. Essen: Item-Verlag, Univ., Diss.,  1997</w:t>
      </w:r>
    </w:p>
    <w:p w:rsidR="001A3F89" w:rsidRPr="0066623C" w:rsidRDefault="001A3F89" w:rsidP="00BC7162">
      <w:pPr>
        <w:jc w:val="both"/>
        <w:rPr>
          <w:color w:val="auto"/>
        </w:rPr>
      </w:pPr>
    </w:p>
    <w:p w:rsidR="006C7C60" w:rsidRPr="0066623C" w:rsidRDefault="006C7C60" w:rsidP="00BC7162">
      <w:pPr>
        <w:jc w:val="both"/>
        <w:rPr>
          <w:color w:val="auto"/>
        </w:rPr>
      </w:pPr>
      <w:proofErr w:type="spellStart"/>
      <w:r w:rsidRPr="0066623C">
        <w:rPr>
          <w:color w:val="auto"/>
        </w:rPr>
        <w:t>Degler</w:t>
      </w:r>
      <w:proofErr w:type="spellEnd"/>
      <w:r w:rsidRPr="0066623C">
        <w:rPr>
          <w:color w:val="auto"/>
        </w:rPr>
        <w:t xml:space="preserve">, Frank: </w:t>
      </w:r>
      <w:proofErr w:type="spellStart"/>
      <w:r w:rsidRPr="0066623C">
        <w:rPr>
          <w:color w:val="auto"/>
        </w:rPr>
        <w:t>Aisthetische</w:t>
      </w:r>
      <w:proofErr w:type="spellEnd"/>
      <w:r w:rsidRPr="0066623C">
        <w:rPr>
          <w:color w:val="auto"/>
        </w:rPr>
        <w:t xml:space="preserve"> Reduktionen. Analysen zu Patrick Süskinds ‚Der </w:t>
      </w:r>
      <w:proofErr w:type="spellStart"/>
      <w:r w:rsidRPr="0066623C">
        <w:rPr>
          <w:color w:val="auto"/>
        </w:rPr>
        <w:t>Kontrabaß</w:t>
      </w:r>
      <w:proofErr w:type="spellEnd"/>
      <w:r w:rsidRPr="0066623C">
        <w:rPr>
          <w:color w:val="auto"/>
        </w:rPr>
        <w:t xml:space="preserve">’, ‚Das Parfum’ du ‚Rossini’., Berlin: </w:t>
      </w:r>
      <w:proofErr w:type="spellStart"/>
      <w:r w:rsidRPr="0066623C">
        <w:rPr>
          <w:color w:val="auto"/>
        </w:rPr>
        <w:t>Waltex</w:t>
      </w:r>
      <w:proofErr w:type="spellEnd"/>
      <w:r w:rsidRPr="0066623C">
        <w:rPr>
          <w:color w:val="auto"/>
        </w:rPr>
        <w:t xml:space="preserve"> de </w:t>
      </w:r>
      <w:proofErr w:type="spellStart"/>
      <w:r w:rsidRPr="0066623C">
        <w:rPr>
          <w:color w:val="auto"/>
        </w:rPr>
        <w:t>Gruyter</w:t>
      </w:r>
      <w:proofErr w:type="spellEnd"/>
      <w:r w:rsidRPr="0066623C">
        <w:rPr>
          <w:color w:val="auto"/>
        </w:rPr>
        <w:t xml:space="preserve"> 2003</w:t>
      </w:r>
    </w:p>
    <w:p w:rsidR="006C7C60" w:rsidRPr="0066623C" w:rsidRDefault="006C7C60" w:rsidP="00BC7162">
      <w:pPr>
        <w:jc w:val="both"/>
        <w:rPr>
          <w:color w:val="auto"/>
        </w:rPr>
      </w:pPr>
    </w:p>
    <w:p w:rsidR="00887EE3" w:rsidRPr="0066623C" w:rsidRDefault="00887EE3" w:rsidP="00BC7162">
      <w:pPr>
        <w:jc w:val="both"/>
        <w:rPr>
          <w:color w:val="auto"/>
        </w:rPr>
      </w:pPr>
      <w:r w:rsidRPr="0066623C">
        <w:rPr>
          <w:color w:val="auto"/>
        </w:rPr>
        <w:t xml:space="preserve">Eichenbaum, Boris: </w:t>
      </w:r>
      <w:r w:rsidRPr="0066623C">
        <w:rPr>
          <w:iCs/>
          <w:color w:val="auto"/>
        </w:rPr>
        <w:t>Aufsätze zur Theorie und Geschichte der Literatur</w:t>
      </w:r>
      <w:r w:rsidRPr="0066623C">
        <w:rPr>
          <w:color w:val="auto"/>
        </w:rPr>
        <w:t>, Frankfurt/Main: Suhrkamp 1965</w:t>
      </w:r>
    </w:p>
    <w:p w:rsidR="00887EE3" w:rsidRPr="0066623C" w:rsidRDefault="00887EE3" w:rsidP="00BC7162">
      <w:pPr>
        <w:jc w:val="both"/>
        <w:rPr>
          <w:color w:val="auto"/>
        </w:rPr>
      </w:pPr>
    </w:p>
    <w:p w:rsidR="00BC7162" w:rsidRPr="0066623C" w:rsidRDefault="00887EE3" w:rsidP="00BC7162">
      <w:pPr>
        <w:jc w:val="both"/>
        <w:rPr>
          <w:color w:val="auto"/>
        </w:rPr>
      </w:pPr>
      <w:r w:rsidRPr="0066623C">
        <w:rPr>
          <w:color w:val="auto"/>
        </w:rPr>
        <w:t xml:space="preserve">Eichenbaum, Boris: </w:t>
      </w:r>
      <w:r w:rsidR="00BC7162" w:rsidRPr="0066623C">
        <w:rPr>
          <w:iCs/>
          <w:color w:val="auto"/>
        </w:rPr>
        <w:t>Literatur und Film</w:t>
      </w:r>
      <w:r w:rsidRPr="0066623C">
        <w:rPr>
          <w:color w:val="auto"/>
        </w:rPr>
        <w:t>.</w:t>
      </w:r>
      <w:r w:rsidR="00BC7162" w:rsidRPr="0066623C">
        <w:rPr>
          <w:color w:val="auto"/>
        </w:rPr>
        <w:t>, In</w:t>
      </w:r>
      <w:r w:rsidRPr="0066623C">
        <w:rPr>
          <w:color w:val="auto"/>
        </w:rPr>
        <w:t xml:space="preserve">: Eichenbaum, Boris: </w:t>
      </w:r>
      <w:r w:rsidR="00BC7162" w:rsidRPr="0066623C">
        <w:rPr>
          <w:iCs/>
          <w:color w:val="auto"/>
        </w:rPr>
        <w:t>Aufsätze zur Theorie und Geschichte der Literatur</w:t>
      </w:r>
      <w:r w:rsidR="00BC7162" w:rsidRPr="0066623C">
        <w:rPr>
          <w:color w:val="auto"/>
        </w:rPr>
        <w:t>, Frankfurt/Main: Suhrkamp 1965</w:t>
      </w:r>
    </w:p>
    <w:p w:rsidR="00887EE3" w:rsidRPr="0066623C" w:rsidRDefault="00887EE3" w:rsidP="00BC7162">
      <w:pPr>
        <w:jc w:val="both"/>
        <w:rPr>
          <w:color w:val="auto"/>
        </w:rPr>
      </w:pPr>
    </w:p>
    <w:p w:rsidR="00887EE3" w:rsidRPr="0066623C" w:rsidRDefault="00887EE3" w:rsidP="00BC7162">
      <w:pPr>
        <w:jc w:val="both"/>
        <w:rPr>
          <w:color w:val="auto"/>
        </w:rPr>
      </w:pPr>
      <w:r w:rsidRPr="0066623C">
        <w:rPr>
          <w:color w:val="auto"/>
        </w:rPr>
        <w:t xml:space="preserve">Eicher, Thomas/Bleckmann, Ulf: Intermedialität: Vom Bild zum Text., Bielefeld: </w:t>
      </w:r>
      <w:proofErr w:type="spellStart"/>
      <w:r w:rsidRPr="0066623C">
        <w:rPr>
          <w:color w:val="auto"/>
        </w:rPr>
        <w:t>Aisthesis</w:t>
      </w:r>
      <w:proofErr w:type="spellEnd"/>
      <w:r w:rsidRPr="0066623C">
        <w:rPr>
          <w:color w:val="auto"/>
        </w:rPr>
        <w:t xml:space="preserve"> 1994</w:t>
      </w:r>
    </w:p>
    <w:p w:rsidR="00887EE3" w:rsidRPr="0066623C" w:rsidRDefault="00887EE3" w:rsidP="00BC7162">
      <w:pPr>
        <w:jc w:val="both"/>
        <w:rPr>
          <w:color w:val="auto"/>
        </w:rPr>
      </w:pPr>
    </w:p>
    <w:p w:rsidR="00BC7162" w:rsidRPr="0066623C" w:rsidRDefault="00887EE3" w:rsidP="00BC7162">
      <w:pPr>
        <w:jc w:val="both"/>
        <w:rPr>
          <w:color w:val="auto"/>
        </w:rPr>
      </w:pPr>
      <w:r w:rsidRPr="0066623C">
        <w:rPr>
          <w:color w:val="auto"/>
        </w:rPr>
        <w:t xml:space="preserve">Eicher, Thomas: Was </w:t>
      </w:r>
      <w:r w:rsidR="00BC7162" w:rsidRPr="0066623C">
        <w:rPr>
          <w:color w:val="auto"/>
        </w:rPr>
        <w:t>heißt (hier) Intermedialität</w:t>
      </w:r>
      <w:proofErr w:type="gramStart"/>
      <w:r w:rsidRPr="0066623C">
        <w:rPr>
          <w:color w:val="auto"/>
        </w:rPr>
        <w:t>?</w:t>
      </w:r>
      <w:r w:rsidR="00BC7162" w:rsidRPr="0066623C">
        <w:rPr>
          <w:color w:val="auto"/>
        </w:rPr>
        <w:t>,</w:t>
      </w:r>
      <w:proofErr w:type="gramEnd"/>
      <w:r w:rsidR="00BC7162" w:rsidRPr="0066623C">
        <w:rPr>
          <w:color w:val="auto"/>
        </w:rPr>
        <w:t xml:space="preserve"> In: </w:t>
      </w:r>
      <w:r w:rsidRPr="0066623C">
        <w:rPr>
          <w:color w:val="auto"/>
        </w:rPr>
        <w:t>Eicher, Thomas/Bleckmann, Ulf: Intermedialität: Vom B</w:t>
      </w:r>
      <w:r w:rsidR="00BC7162" w:rsidRPr="0066623C">
        <w:rPr>
          <w:color w:val="auto"/>
        </w:rPr>
        <w:t xml:space="preserve">ild zum Text., Bielefeld: </w:t>
      </w:r>
      <w:proofErr w:type="spellStart"/>
      <w:r w:rsidR="00BC7162" w:rsidRPr="0066623C">
        <w:rPr>
          <w:color w:val="auto"/>
        </w:rPr>
        <w:t>Aisthesis</w:t>
      </w:r>
      <w:proofErr w:type="spellEnd"/>
      <w:r w:rsidR="00BC7162" w:rsidRPr="0066623C">
        <w:rPr>
          <w:color w:val="auto"/>
        </w:rPr>
        <w:t xml:space="preserve"> 1994</w:t>
      </w:r>
    </w:p>
    <w:p w:rsidR="00887EE3" w:rsidRPr="0066623C" w:rsidRDefault="00887EE3" w:rsidP="00BC7162">
      <w:pPr>
        <w:jc w:val="both"/>
        <w:rPr>
          <w:color w:val="auto"/>
        </w:rPr>
      </w:pPr>
    </w:p>
    <w:p w:rsidR="00BC7162" w:rsidRPr="0066623C" w:rsidRDefault="00887EE3" w:rsidP="00BC7162">
      <w:pPr>
        <w:jc w:val="both"/>
        <w:rPr>
          <w:color w:val="auto"/>
        </w:rPr>
      </w:pPr>
      <w:r w:rsidRPr="0066623C">
        <w:rPr>
          <w:color w:val="auto"/>
        </w:rPr>
        <w:t xml:space="preserve">Florian, Katharina: </w:t>
      </w:r>
      <w:r w:rsidR="00BC7162" w:rsidRPr="0066623C">
        <w:rPr>
          <w:color w:val="auto"/>
        </w:rPr>
        <w:t xml:space="preserve">Die Verfilmung zweier Bestseller – Das Parfum und </w:t>
      </w:r>
      <w:r w:rsidRPr="0066623C">
        <w:rPr>
          <w:color w:val="auto"/>
        </w:rPr>
        <w:t>Schlafes Bruder</w:t>
      </w:r>
      <w:r w:rsidR="00BC7162" w:rsidRPr="0066623C">
        <w:rPr>
          <w:color w:val="auto"/>
        </w:rPr>
        <w:t>, Dipl., Wien 2008</w:t>
      </w:r>
    </w:p>
    <w:p w:rsidR="00887EE3" w:rsidRPr="0066623C" w:rsidRDefault="00887EE3" w:rsidP="00BC7162">
      <w:pPr>
        <w:jc w:val="both"/>
        <w:rPr>
          <w:color w:val="auto"/>
        </w:rPr>
      </w:pPr>
    </w:p>
    <w:p w:rsidR="00BC7162" w:rsidRPr="0066623C" w:rsidRDefault="00BC7162" w:rsidP="00BC7162">
      <w:pPr>
        <w:jc w:val="both"/>
        <w:rPr>
          <w:color w:val="auto"/>
        </w:rPr>
      </w:pPr>
      <w:proofErr w:type="spellStart"/>
      <w:r w:rsidRPr="0066623C">
        <w:rPr>
          <w:color w:val="auto"/>
        </w:rPr>
        <w:t>Frizen</w:t>
      </w:r>
      <w:proofErr w:type="spellEnd"/>
      <w:r w:rsidRPr="0066623C">
        <w:rPr>
          <w:color w:val="auto"/>
        </w:rPr>
        <w:t xml:space="preserve">, </w:t>
      </w:r>
      <w:r w:rsidR="00887EE3" w:rsidRPr="0066623C">
        <w:rPr>
          <w:color w:val="auto"/>
        </w:rPr>
        <w:t xml:space="preserve">Werner und </w:t>
      </w:r>
      <w:proofErr w:type="spellStart"/>
      <w:r w:rsidR="00887EE3" w:rsidRPr="0066623C">
        <w:rPr>
          <w:color w:val="auto"/>
        </w:rPr>
        <w:t>Spancken</w:t>
      </w:r>
      <w:proofErr w:type="spellEnd"/>
      <w:r w:rsidR="00887EE3" w:rsidRPr="0066623C">
        <w:rPr>
          <w:color w:val="auto"/>
        </w:rPr>
        <w:t xml:space="preserve">, Marilies: </w:t>
      </w:r>
      <w:r w:rsidRPr="0066623C">
        <w:rPr>
          <w:color w:val="auto"/>
        </w:rPr>
        <w:t>Das Parfum. Interpretation</w:t>
      </w:r>
      <w:r w:rsidR="00887EE3" w:rsidRPr="0066623C">
        <w:rPr>
          <w:color w:val="auto"/>
        </w:rPr>
        <w:t xml:space="preserve">.,  München: </w:t>
      </w:r>
      <w:proofErr w:type="spellStart"/>
      <w:r w:rsidR="00887EE3" w:rsidRPr="0066623C">
        <w:rPr>
          <w:color w:val="auto"/>
        </w:rPr>
        <w:t>Oldenbourq</w:t>
      </w:r>
      <w:proofErr w:type="spellEnd"/>
      <w:r w:rsidR="00887EE3" w:rsidRPr="0066623C">
        <w:rPr>
          <w:color w:val="auto"/>
        </w:rPr>
        <w:t xml:space="preserve"> 1998</w:t>
      </w:r>
    </w:p>
    <w:p w:rsidR="00887EE3" w:rsidRPr="0066623C" w:rsidRDefault="00887EE3" w:rsidP="00BC7162">
      <w:pPr>
        <w:jc w:val="both"/>
        <w:rPr>
          <w:color w:val="auto"/>
        </w:rPr>
      </w:pPr>
    </w:p>
    <w:p w:rsidR="00BC7162" w:rsidRPr="0066623C" w:rsidRDefault="00887EE3" w:rsidP="00BC7162">
      <w:pPr>
        <w:jc w:val="both"/>
        <w:rPr>
          <w:color w:val="auto"/>
        </w:rPr>
      </w:pPr>
      <w:r w:rsidRPr="0066623C">
        <w:rPr>
          <w:color w:val="auto"/>
        </w:rPr>
        <w:t xml:space="preserve">Gast, Wolfgang: </w:t>
      </w:r>
      <w:r w:rsidR="00BC7162" w:rsidRPr="0066623C">
        <w:rPr>
          <w:color w:val="auto"/>
        </w:rPr>
        <w:t xml:space="preserve">Film und Literatur. Grundbuch, Frankfurt am Main: </w:t>
      </w:r>
      <w:proofErr w:type="spellStart"/>
      <w:r w:rsidR="00BC7162" w:rsidRPr="0066623C">
        <w:rPr>
          <w:color w:val="auto"/>
        </w:rPr>
        <w:t>Diesterweg</w:t>
      </w:r>
      <w:proofErr w:type="spellEnd"/>
      <w:r w:rsidR="00BC7162" w:rsidRPr="0066623C">
        <w:rPr>
          <w:color w:val="auto"/>
        </w:rPr>
        <w:t xml:space="preserve"> 1993 </w:t>
      </w:r>
    </w:p>
    <w:p w:rsidR="00887EE3" w:rsidRPr="0066623C" w:rsidRDefault="00887EE3" w:rsidP="00BC7162">
      <w:pPr>
        <w:jc w:val="both"/>
        <w:rPr>
          <w:color w:val="auto"/>
        </w:rPr>
      </w:pPr>
    </w:p>
    <w:p w:rsidR="00557DBC" w:rsidRPr="0066623C" w:rsidRDefault="00557DBC" w:rsidP="00BC7162">
      <w:pPr>
        <w:jc w:val="both"/>
        <w:rPr>
          <w:color w:val="auto"/>
          <w:lang w:val="en-US"/>
        </w:rPr>
      </w:pPr>
      <w:r w:rsidRPr="0066623C">
        <w:rPr>
          <w:color w:val="auto"/>
          <w:lang w:val="en-US"/>
        </w:rPr>
        <w:t xml:space="preserve">Heath, Stephen: Questions of the Cinema, </w:t>
      </w:r>
      <w:r w:rsidR="0066623C" w:rsidRPr="0066623C">
        <w:rPr>
          <w:color w:val="auto"/>
          <w:lang w:val="en-US"/>
        </w:rPr>
        <w:t>Bloomington, Ind. [</w:t>
      </w:r>
      <w:proofErr w:type="spellStart"/>
      <w:r w:rsidR="0066623C" w:rsidRPr="0066623C">
        <w:rPr>
          <w:color w:val="auto"/>
          <w:lang w:val="en-US"/>
        </w:rPr>
        <w:t>u.a</w:t>
      </w:r>
      <w:proofErr w:type="spellEnd"/>
      <w:r w:rsidR="0066623C" w:rsidRPr="0066623C">
        <w:rPr>
          <w:color w:val="auto"/>
          <w:lang w:val="en-US"/>
        </w:rPr>
        <w:t xml:space="preserve">.]: Indiana Univ. Press 1981 </w:t>
      </w:r>
    </w:p>
    <w:p w:rsidR="00557DBC" w:rsidRPr="0066623C" w:rsidRDefault="00557DBC" w:rsidP="00BC7162">
      <w:pPr>
        <w:jc w:val="both"/>
        <w:rPr>
          <w:color w:val="auto"/>
          <w:lang w:val="en-US"/>
        </w:rPr>
      </w:pPr>
    </w:p>
    <w:p w:rsidR="00BC7162" w:rsidRPr="0066623C" w:rsidRDefault="00887EE3" w:rsidP="00BC7162">
      <w:pPr>
        <w:jc w:val="both"/>
        <w:rPr>
          <w:color w:val="auto"/>
        </w:rPr>
      </w:pPr>
      <w:r w:rsidRPr="0066623C">
        <w:rPr>
          <w:color w:val="auto"/>
        </w:rPr>
        <w:t xml:space="preserve">Kling, Silvia: </w:t>
      </w:r>
      <w:proofErr w:type="spellStart"/>
      <w:r w:rsidR="00BC7162" w:rsidRPr="0066623C">
        <w:rPr>
          <w:color w:val="auto"/>
        </w:rPr>
        <w:t>Filmologie</w:t>
      </w:r>
      <w:proofErr w:type="spellEnd"/>
      <w:r w:rsidR="00BC7162" w:rsidRPr="0066623C">
        <w:rPr>
          <w:color w:val="auto"/>
        </w:rPr>
        <w:t xml:space="preserve"> und Intermedialität. Der </w:t>
      </w:r>
      <w:proofErr w:type="spellStart"/>
      <w:r w:rsidR="00BC7162" w:rsidRPr="0066623C">
        <w:rPr>
          <w:color w:val="auto"/>
        </w:rPr>
        <w:t>filmologische</w:t>
      </w:r>
      <w:proofErr w:type="spellEnd"/>
      <w:r w:rsidR="00BC7162" w:rsidRPr="0066623C">
        <w:rPr>
          <w:color w:val="auto"/>
        </w:rPr>
        <w:t xml:space="preserve"> Beitrag zu einem aktuellen medienwissenschaftlichen Konzept., Tübingen: </w:t>
      </w:r>
      <w:proofErr w:type="spellStart"/>
      <w:r w:rsidR="00BC7162" w:rsidRPr="0066623C">
        <w:rPr>
          <w:color w:val="auto"/>
        </w:rPr>
        <w:t>Stauffenburg</w:t>
      </w:r>
      <w:proofErr w:type="spellEnd"/>
      <w:r w:rsidR="00BC7162" w:rsidRPr="0066623C">
        <w:rPr>
          <w:color w:val="auto"/>
        </w:rPr>
        <w:t xml:space="preserve"> Verlag 2002</w:t>
      </w:r>
    </w:p>
    <w:p w:rsidR="00887EE3" w:rsidRPr="0066623C" w:rsidRDefault="00887EE3" w:rsidP="00BC7162">
      <w:pPr>
        <w:jc w:val="both"/>
        <w:rPr>
          <w:color w:val="auto"/>
        </w:rPr>
      </w:pPr>
    </w:p>
    <w:p w:rsidR="00BC7162" w:rsidRPr="0066623C" w:rsidRDefault="00887EE3" w:rsidP="00BC7162">
      <w:pPr>
        <w:jc w:val="both"/>
        <w:rPr>
          <w:color w:val="auto"/>
        </w:rPr>
      </w:pPr>
      <w:r w:rsidRPr="0066623C">
        <w:rPr>
          <w:color w:val="auto"/>
        </w:rPr>
        <w:t xml:space="preserve">Kracauer, Siegfried: </w:t>
      </w:r>
      <w:r w:rsidR="00BC7162" w:rsidRPr="0066623C">
        <w:rPr>
          <w:iCs/>
          <w:color w:val="auto"/>
        </w:rPr>
        <w:t>Theorie des Films. Die Errettung der  äußeren Wirklichkeit</w:t>
      </w:r>
      <w:r w:rsidRPr="0066623C">
        <w:rPr>
          <w:color w:val="auto"/>
        </w:rPr>
        <w:t>.</w:t>
      </w:r>
      <w:r w:rsidR="00BC7162" w:rsidRPr="0066623C">
        <w:rPr>
          <w:color w:val="auto"/>
        </w:rPr>
        <w:t>, Frankfurt/Main: Suhrkamp 1975</w:t>
      </w:r>
    </w:p>
    <w:p w:rsidR="00887EE3" w:rsidRPr="0066623C" w:rsidRDefault="00887EE3" w:rsidP="00BC7162">
      <w:pPr>
        <w:jc w:val="both"/>
        <w:rPr>
          <w:color w:val="auto"/>
        </w:rPr>
      </w:pPr>
    </w:p>
    <w:p w:rsidR="00BC7162" w:rsidRPr="0066623C" w:rsidRDefault="00887EE3" w:rsidP="00BC7162">
      <w:pPr>
        <w:jc w:val="both"/>
        <w:rPr>
          <w:color w:val="auto"/>
        </w:rPr>
      </w:pPr>
      <w:proofErr w:type="spellStart"/>
      <w:r w:rsidRPr="0066623C">
        <w:rPr>
          <w:color w:val="auto"/>
        </w:rPr>
        <w:t>Paech</w:t>
      </w:r>
      <w:proofErr w:type="spellEnd"/>
      <w:r w:rsidRPr="0066623C">
        <w:rPr>
          <w:color w:val="auto"/>
        </w:rPr>
        <w:t xml:space="preserve">, Joachim: </w:t>
      </w:r>
      <w:r w:rsidR="00BC7162" w:rsidRPr="0066623C">
        <w:rPr>
          <w:iCs/>
          <w:color w:val="auto"/>
        </w:rPr>
        <w:t>Literatur und Film: Mephisto. Einführung in die Analyse filmischer Adaption literarischer Werke</w:t>
      </w:r>
      <w:r w:rsidRPr="0066623C">
        <w:rPr>
          <w:color w:val="auto"/>
        </w:rPr>
        <w:t>.</w:t>
      </w:r>
      <w:r w:rsidR="00BC7162" w:rsidRPr="0066623C">
        <w:rPr>
          <w:color w:val="auto"/>
        </w:rPr>
        <w:t xml:space="preserve"> Frankfurt am Main: Moritz </w:t>
      </w:r>
      <w:proofErr w:type="spellStart"/>
      <w:r w:rsidR="00BC7162" w:rsidRPr="0066623C">
        <w:rPr>
          <w:color w:val="auto"/>
        </w:rPr>
        <w:t>Diesterweg</w:t>
      </w:r>
      <w:proofErr w:type="spellEnd"/>
      <w:r w:rsidR="00BC7162" w:rsidRPr="0066623C">
        <w:rPr>
          <w:color w:val="auto"/>
        </w:rPr>
        <w:t xml:space="preserve"> 1984</w:t>
      </w:r>
    </w:p>
    <w:p w:rsidR="00887EE3" w:rsidRPr="0066623C" w:rsidRDefault="00887EE3" w:rsidP="00BC7162">
      <w:pPr>
        <w:jc w:val="both"/>
        <w:rPr>
          <w:color w:val="auto"/>
          <w:u w:val="single"/>
        </w:rPr>
      </w:pPr>
    </w:p>
    <w:p w:rsidR="00BC7162" w:rsidRPr="0066623C" w:rsidRDefault="00887EE3" w:rsidP="00BC7162">
      <w:pPr>
        <w:jc w:val="both"/>
        <w:rPr>
          <w:color w:val="auto"/>
        </w:rPr>
      </w:pPr>
      <w:proofErr w:type="spellStart"/>
      <w:r w:rsidRPr="0066623C">
        <w:rPr>
          <w:color w:val="auto"/>
        </w:rPr>
        <w:t>Paech</w:t>
      </w:r>
      <w:proofErr w:type="spellEnd"/>
      <w:r w:rsidRPr="0066623C">
        <w:rPr>
          <w:color w:val="auto"/>
        </w:rPr>
        <w:t xml:space="preserve">, Joachim: </w:t>
      </w:r>
      <w:r w:rsidR="00BC7162" w:rsidRPr="0066623C">
        <w:rPr>
          <w:color w:val="auto"/>
        </w:rPr>
        <w:t>Paradoxien der Auflösung und Intermedialität</w:t>
      </w:r>
      <w:r w:rsidRPr="0066623C">
        <w:rPr>
          <w:color w:val="auto"/>
        </w:rPr>
        <w:t xml:space="preserve">., In: Warnke, Martin: </w:t>
      </w:r>
      <w:r w:rsidR="00BC7162" w:rsidRPr="0066623C">
        <w:rPr>
          <w:color w:val="auto"/>
        </w:rPr>
        <w:t>Hyperkult: Geschichte, Theorie und Kontext digitaler Medien., Basel: Frankfurt am Main 1997</w:t>
      </w:r>
    </w:p>
    <w:p w:rsidR="00887EE3" w:rsidRPr="0066623C" w:rsidRDefault="00887EE3" w:rsidP="00BC7162">
      <w:pPr>
        <w:jc w:val="both"/>
        <w:rPr>
          <w:color w:val="auto"/>
        </w:rPr>
      </w:pPr>
    </w:p>
    <w:p w:rsidR="00BC7162" w:rsidRPr="0066623C" w:rsidRDefault="00887EE3" w:rsidP="00BC7162">
      <w:pPr>
        <w:jc w:val="both"/>
        <w:rPr>
          <w:color w:val="auto"/>
        </w:rPr>
      </w:pPr>
      <w:proofErr w:type="spellStart"/>
      <w:r w:rsidRPr="0066623C">
        <w:rPr>
          <w:color w:val="auto"/>
        </w:rPr>
        <w:lastRenderedPageBreak/>
        <w:t>Prümm</w:t>
      </w:r>
      <w:proofErr w:type="spellEnd"/>
      <w:r w:rsidRPr="0066623C">
        <w:rPr>
          <w:color w:val="auto"/>
        </w:rPr>
        <w:t xml:space="preserve">, Karl: </w:t>
      </w:r>
      <w:r w:rsidR="00BC7162" w:rsidRPr="0066623C">
        <w:rPr>
          <w:color w:val="auto"/>
        </w:rPr>
        <w:t>Das Prinzip der Bewegungen in den Filmen von Tom Tykwer</w:t>
      </w:r>
      <w:r w:rsidRPr="0066623C">
        <w:rPr>
          <w:color w:val="auto"/>
        </w:rPr>
        <w:t xml:space="preserve">., In: </w:t>
      </w:r>
      <w:proofErr w:type="spellStart"/>
      <w:r w:rsidRPr="0066623C">
        <w:rPr>
          <w:color w:val="auto"/>
        </w:rPr>
        <w:t>Radeck</w:t>
      </w:r>
      <w:proofErr w:type="spellEnd"/>
      <w:r w:rsidRPr="0066623C">
        <w:rPr>
          <w:color w:val="auto"/>
        </w:rPr>
        <w:t>, Heike: Die Filmsprache Tom Tykwers.</w:t>
      </w:r>
      <w:r w:rsidR="00BC7162" w:rsidRPr="0066623C">
        <w:rPr>
          <w:color w:val="auto"/>
        </w:rPr>
        <w:t xml:space="preserve">, </w:t>
      </w:r>
      <w:proofErr w:type="spellStart"/>
      <w:r w:rsidR="00BC7162" w:rsidRPr="0066623C">
        <w:rPr>
          <w:color w:val="auto"/>
        </w:rPr>
        <w:t>Hofgeismar</w:t>
      </w:r>
      <w:proofErr w:type="spellEnd"/>
      <w:r w:rsidR="00BC7162" w:rsidRPr="0066623C">
        <w:rPr>
          <w:color w:val="auto"/>
        </w:rPr>
        <w:t>: Evangelische Akademie 2004</w:t>
      </w:r>
    </w:p>
    <w:p w:rsidR="00887EE3" w:rsidRPr="0066623C" w:rsidRDefault="00887EE3" w:rsidP="00BC7162">
      <w:pPr>
        <w:jc w:val="both"/>
        <w:rPr>
          <w:color w:val="auto"/>
        </w:rPr>
      </w:pPr>
    </w:p>
    <w:p w:rsidR="00BC7162" w:rsidRPr="0066623C" w:rsidRDefault="00887EE3" w:rsidP="00BC7162">
      <w:pPr>
        <w:jc w:val="both"/>
        <w:rPr>
          <w:color w:val="auto"/>
        </w:rPr>
      </w:pPr>
      <w:proofErr w:type="spellStart"/>
      <w:r w:rsidRPr="0066623C">
        <w:rPr>
          <w:color w:val="auto"/>
        </w:rPr>
        <w:t>Radeck</w:t>
      </w:r>
      <w:proofErr w:type="spellEnd"/>
      <w:r w:rsidRPr="0066623C">
        <w:rPr>
          <w:color w:val="auto"/>
        </w:rPr>
        <w:t>, Heike: Die Filmsprache Tom Tykwers.</w:t>
      </w:r>
      <w:r w:rsidR="00BC7162" w:rsidRPr="0066623C">
        <w:rPr>
          <w:color w:val="auto"/>
        </w:rPr>
        <w:t xml:space="preserve">, </w:t>
      </w:r>
      <w:proofErr w:type="spellStart"/>
      <w:r w:rsidR="00BC7162" w:rsidRPr="0066623C">
        <w:rPr>
          <w:color w:val="auto"/>
        </w:rPr>
        <w:t>Hofgeismar</w:t>
      </w:r>
      <w:proofErr w:type="spellEnd"/>
      <w:r w:rsidR="00BC7162" w:rsidRPr="0066623C">
        <w:rPr>
          <w:color w:val="auto"/>
        </w:rPr>
        <w:t>: Evangelische Akademie 2004</w:t>
      </w:r>
    </w:p>
    <w:p w:rsidR="00887EE3" w:rsidRPr="0066623C" w:rsidRDefault="00887EE3" w:rsidP="00BC7162">
      <w:pPr>
        <w:jc w:val="both"/>
        <w:rPr>
          <w:color w:val="auto"/>
        </w:rPr>
      </w:pPr>
    </w:p>
    <w:p w:rsidR="00887EE3" w:rsidRPr="0066623C" w:rsidRDefault="00887EE3" w:rsidP="00887EE3">
      <w:pPr>
        <w:jc w:val="both"/>
        <w:rPr>
          <w:color w:val="auto"/>
        </w:rPr>
      </w:pPr>
      <w:proofErr w:type="spellStart"/>
      <w:r w:rsidRPr="0066623C">
        <w:rPr>
          <w:color w:val="auto"/>
        </w:rPr>
        <w:t>Rußegger</w:t>
      </w:r>
      <w:proofErr w:type="spellEnd"/>
      <w:r w:rsidRPr="0066623C">
        <w:rPr>
          <w:color w:val="auto"/>
        </w:rPr>
        <w:t xml:space="preserve">, Arno: </w:t>
      </w:r>
      <w:r w:rsidRPr="0066623C">
        <w:rPr>
          <w:iCs/>
          <w:color w:val="auto"/>
        </w:rPr>
        <w:t>Die Ungetrennten und Nichtvereinten. Studien zum Verhältnis von Film und Literatur. Ergebnisse der 33. Literaturtagung des Instituts für Österreichkunde St. Pölten.</w:t>
      </w:r>
      <w:r w:rsidRPr="0066623C">
        <w:rPr>
          <w:color w:val="auto"/>
        </w:rPr>
        <w:t>, Wien: Studien-Verlag 1995</w:t>
      </w:r>
    </w:p>
    <w:p w:rsidR="00887EE3" w:rsidRPr="0066623C" w:rsidRDefault="00887EE3" w:rsidP="00BC7162">
      <w:pPr>
        <w:jc w:val="both"/>
        <w:rPr>
          <w:color w:val="auto"/>
        </w:rPr>
      </w:pPr>
    </w:p>
    <w:p w:rsidR="00BC7162" w:rsidRPr="0066623C" w:rsidRDefault="00887EE3" w:rsidP="00BC7162">
      <w:pPr>
        <w:jc w:val="both"/>
        <w:rPr>
          <w:color w:val="auto"/>
        </w:rPr>
      </w:pPr>
      <w:proofErr w:type="spellStart"/>
      <w:r w:rsidRPr="0066623C">
        <w:rPr>
          <w:color w:val="auto"/>
        </w:rPr>
        <w:t>Rußegger</w:t>
      </w:r>
      <w:proofErr w:type="spellEnd"/>
      <w:r w:rsidRPr="0066623C">
        <w:rPr>
          <w:color w:val="auto"/>
        </w:rPr>
        <w:t xml:space="preserve">, Arno: </w:t>
      </w:r>
      <w:r w:rsidR="00BC7162" w:rsidRPr="0066623C">
        <w:rPr>
          <w:iCs/>
          <w:color w:val="auto"/>
        </w:rPr>
        <w:t>Mimesis in Wort und Bild. Der fruchtbare Widerspruch</w:t>
      </w:r>
      <w:r w:rsidRPr="0066623C">
        <w:rPr>
          <w:color w:val="auto"/>
        </w:rPr>
        <w:t>.</w:t>
      </w:r>
      <w:r w:rsidR="00BC7162" w:rsidRPr="0066623C">
        <w:rPr>
          <w:color w:val="auto"/>
        </w:rPr>
        <w:t xml:space="preserve">, In: </w:t>
      </w:r>
      <w:proofErr w:type="spellStart"/>
      <w:r w:rsidR="00BC7162" w:rsidRPr="0066623C">
        <w:rPr>
          <w:color w:val="auto"/>
        </w:rPr>
        <w:t>Rußegger</w:t>
      </w:r>
      <w:proofErr w:type="spellEnd"/>
      <w:r w:rsidR="00BC7162" w:rsidRPr="0066623C">
        <w:rPr>
          <w:color w:val="auto"/>
        </w:rPr>
        <w:t>, Arno: „</w:t>
      </w:r>
      <w:r w:rsidR="00BC7162" w:rsidRPr="0066623C">
        <w:rPr>
          <w:iCs/>
          <w:color w:val="auto"/>
        </w:rPr>
        <w:t>Die Ungetrennten und Nichtvereinten. Studien zum Verhältnis von Film und Literatur. Ergebnisse der 33. Literaturtagung des Instituts für Österreichkunde St. Pölten.</w:t>
      </w:r>
      <w:r w:rsidR="00BC7162" w:rsidRPr="0066623C">
        <w:rPr>
          <w:color w:val="auto"/>
        </w:rPr>
        <w:t>“, Wien: Studien-Verlag 1995</w:t>
      </w:r>
    </w:p>
    <w:p w:rsidR="00BC7162" w:rsidRPr="0066623C" w:rsidRDefault="00BC7162" w:rsidP="00BC7162">
      <w:pPr>
        <w:pStyle w:val="Kopfzeile"/>
        <w:tabs>
          <w:tab w:val="clear" w:pos="4536"/>
          <w:tab w:val="clear" w:pos="9072"/>
        </w:tabs>
        <w:jc w:val="both"/>
        <w:rPr>
          <w:color w:val="auto"/>
        </w:rPr>
      </w:pPr>
    </w:p>
    <w:p w:rsidR="00BC7162" w:rsidRPr="0066623C" w:rsidRDefault="00887EE3" w:rsidP="00BC7162">
      <w:pPr>
        <w:jc w:val="both"/>
        <w:rPr>
          <w:color w:val="auto"/>
        </w:rPr>
      </w:pPr>
      <w:r w:rsidRPr="0066623C">
        <w:rPr>
          <w:color w:val="auto"/>
        </w:rPr>
        <w:t xml:space="preserve">Scherf, Rainer: </w:t>
      </w:r>
      <w:r w:rsidR="00BC7162" w:rsidRPr="0066623C">
        <w:rPr>
          <w:color w:val="auto"/>
        </w:rPr>
        <w:t>Der verführte Leser. Eine Interpretation von Patrick Süskinds ‚Das Parfum’</w:t>
      </w:r>
      <w:r w:rsidRPr="0066623C">
        <w:rPr>
          <w:color w:val="auto"/>
        </w:rPr>
        <w:t>.</w:t>
      </w:r>
      <w:r w:rsidR="00BC7162" w:rsidRPr="0066623C">
        <w:rPr>
          <w:color w:val="auto"/>
        </w:rPr>
        <w:t xml:space="preserve">, Marburg: </w:t>
      </w:r>
      <w:proofErr w:type="spellStart"/>
      <w:r w:rsidR="00BC7162" w:rsidRPr="0066623C">
        <w:rPr>
          <w:color w:val="auto"/>
        </w:rPr>
        <w:t>Tectum</w:t>
      </w:r>
      <w:proofErr w:type="spellEnd"/>
      <w:r w:rsidR="00BC7162" w:rsidRPr="0066623C">
        <w:rPr>
          <w:color w:val="auto"/>
        </w:rPr>
        <w:t xml:space="preserve"> 2006,</w:t>
      </w:r>
    </w:p>
    <w:p w:rsidR="00BC7162" w:rsidRPr="0066623C" w:rsidRDefault="00BC7162" w:rsidP="00BC7162">
      <w:pPr>
        <w:jc w:val="both"/>
        <w:rPr>
          <w:color w:val="auto"/>
        </w:rPr>
      </w:pPr>
    </w:p>
    <w:p w:rsidR="00BC7162" w:rsidRPr="0066623C" w:rsidRDefault="00887EE3" w:rsidP="00BC7162">
      <w:pPr>
        <w:jc w:val="both"/>
        <w:rPr>
          <w:color w:val="auto"/>
        </w:rPr>
      </w:pPr>
      <w:r w:rsidRPr="0066623C">
        <w:rPr>
          <w:color w:val="auto"/>
        </w:rPr>
        <w:t xml:space="preserve">Süskind, Patrick: </w:t>
      </w:r>
      <w:r w:rsidR="00BC7162" w:rsidRPr="0066623C">
        <w:rPr>
          <w:color w:val="auto"/>
        </w:rPr>
        <w:t>Das Parfum, Die Geschichte eines Mörders, Zürich: Diogenes 1994</w:t>
      </w:r>
    </w:p>
    <w:p w:rsidR="00BC7162" w:rsidRPr="0066623C" w:rsidRDefault="00BC7162" w:rsidP="00BC7162">
      <w:pPr>
        <w:jc w:val="both"/>
        <w:rPr>
          <w:color w:val="auto"/>
          <w:u w:val="single"/>
        </w:rPr>
      </w:pPr>
    </w:p>
    <w:p w:rsidR="00887EE3" w:rsidRPr="0066623C" w:rsidRDefault="00887EE3" w:rsidP="00887EE3">
      <w:pPr>
        <w:jc w:val="both"/>
        <w:rPr>
          <w:color w:val="auto"/>
        </w:rPr>
      </w:pPr>
      <w:r w:rsidRPr="0066623C">
        <w:rPr>
          <w:color w:val="auto"/>
        </w:rPr>
        <w:t>Warnke, Martin: Hyperkult: Geschichte, Theorie und Kontext digitaler Medien., Basel: Frankfurt am Main 1997</w:t>
      </w:r>
    </w:p>
    <w:p w:rsidR="00887EE3" w:rsidRPr="0066623C" w:rsidRDefault="00887EE3" w:rsidP="00BC7162">
      <w:pPr>
        <w:jc w:val="both"/>
        <w:rPr>
          <w:color w:val="auto"/>
          <w:u w:val="single"/>
        </w:rPr>
      </w:pPr>
    </w:p>
    <w:p w:rsidR="002F63C3" w:rsidRPr="0066623C" w:rsidRDefault="00BC7162" w:rsidP="00BC7162">
      <w:pPr>
        <w:jc w:val="both"/>
        <w:rPr>
          <w:color w:val="auto"/>
          <w:u w:val="single"/>
        </w:rPr>
      </w:pPr>
      <w:r w:rsidRPr="0066623C">
        <w:rPr>
          <w:color w:val="auto"/>
          <w:u w:val="single"/>
        </w:rPr>
        <w:t>Rezipierte Literatur</w:t>
      </w:r>
    </w:p>
    <w:p w:rsidR="002F63C3" w:rsidRPr="0066623C" w:rsidRDefault="002F63C3" w:rsidP="00BC7162">
      <w:pPr>
        <w:jc w:val="both"/>
        <w:rPr>
          <w:color w:val="auto"/>
        </w:rPr>
      </w:pPr>
      <w:r w:rsidRPr="0066623C">
        <w:rPr>
          <w:iCs/>
          <w:color w:val="auto"/>
        </w:rPr>
        <w:t xml:space="preserve">Das Parfum. </w:t>
      </w:r>
      <w:proofErr w:type="spellStart"/>
      <w:r w:rsidRPr="0066623C">
        <w:rPr>
          <w:iCs/>
          <w:color w:val="auto"/>
        </w:rPr>
        <w:t>Filmheft</w:t>
      </w:r>
      <w:proofErr w:type="spellEnd"/>
      <w:r w:rsidRPr="0066623C">
        <w:rPr>
          <w:iCs/>
          <w:color w:val="auto"/>
        </w:rPr>
        <w:t xml:space="preserve"> – Materialien für den Unterricht</w:t>
      </w:r>
      <w:r w:rsidR="00887EE3" w:rsidRPr="0066623C">
        <w:rPr>
          <w:color w:val="auto"/>
        </w:rPr>
        <w:t>.</w:t>
      </w:r>
      <w:r w:rsidRPr="0066623C">
        <w:rPr>
          <w:color w:val="auto"/>
        </w:rPr>
        <w:t xml:space="preserve">, Kulturfiliale Giller und Conrad [Hrsg.], München: Family Print </w:t>
      </w:r>
      <w:proofErr w:type="spellStart"/>
      <w:r w:rsidRPr="0066623C">
        <w:rPr>
          <w:color w:val="auto"/>
        </w:rPr>
        <w:t>Production</w:t>
      </w:r>
      <w:proofErr w:type="spellEnd"/>
      <w:r w:rsidRPr="0066623C">
        <w:rPr>
          <w:color w:val="auto"/>
        </w:rPr>
        <w:t xml:space="preserve"> Services 2007</w:t>
      </w:r>
    </w:p>
    <w:p w:rsidR="006C7C60" w:rsidRDefault="006C7C60" w:rsidP="00BC7162">
      <w:pPr>
        <w:jc w:val="both"/>
        <w:rPr>
          <w:b/>
          <w:u w:val="single"/>
        </w:rPr>
      </w:pPr>
    </w:p>
    <w:p w:rsidR="006C7C60" w:rsidRPr="00BC7162" w:rsidRDefault="006C7C60" w:rsidP="00BC7162">
      <w:pPr>
        <w:jc w:val="both"/>
        <w:rPr>
          <w:b/>
          <w:u w:val="single"/>
        </w:rPr>
      </w:pPr>
    </w:p>
    <w:p w:rsidR="002F63C3" w:rsidRPr="00BC7162" w:rsidRDefault="002F63C3" w:rsidP="00BC7162">
      <w:pPr>
        <w:pStyle w:val="Listenabsatz"/>
        <w:numPr>
          <w:ilvl w:val="0"/>
          <w:numId w:val="12"/>
        </w:numPr>
        <w:jc w:val="both"/>
        <w:rPr>
          <w:u w:val="single"/>
        </w:rPr>
      </w:pPr>
      <w:r w:rsidRPr="00BC7162">
        <w:rPr>
          <w:u w:val="single"/>
          <w:shd w:val="clear" w:color="auto" w:fill="00FFFF"/>
        </w:rPr>
        <w:t>Filmographie</w:t>
      </w:r>
    </w:p>
    <w:p w:rsidR="002F63C3" w:rsidRPr="00BC7162" w:rsidRDefault="002F63C3" w:rsidP="00BC7162">
      <w:pPr>
        <w:jc w:val="both"/>
      </w:pPr>
      <w:r w:rsidRPr="00BC7162">
        <w:t>Tykwer, Tom</w:t>
      </w:r>
      <w:r w:rsidR="00887EE3">
        <w:t xml:space="preserve">: </w:t>
      </w:r>
      <w:r w:rsidRPr="00BC7162">
        <w:t>Das Parfum</w:t>
      </w:r>
      <w:r w:rsidR="00887EE3">
        <w:t>. Die Geschichte eines Mörders.</w:t>
      </w:r>
      <w:r w:rsidRPr="00BC7162">
        <w:t xml:space="preserve">, Deutschland: Eichinger Produktion 2006, Premium Edition, Bonus DVD </w:t>
      </w:r>
    </w:p>
    <w:p w:rsidR="00887EE3" w:rsidRDefault="00887EE3" w:rsidP="00BC7162">
      <w:pPr>
        <w:jc w:val="both"/>
      </w:pPr>
    </w:p>
    <w:p w:rsidR="002F63C3" w:rsidRPr="00BC7162" w:rsidRDefault="00887EE3" w:rsidP="00BC7162">
      <w:pPr>
        <w:jc w:val="both"/>
      </w:pPr>
      <w:r>
        <w:t xml:space="preserve">Tykwer, Tom: </w:t>
      </w:r>
      <w:r w:rsidR="002F63C3" w:rsidRPr="00BC7162">
        <w:t>Das Parfum</w:t>
      </w:r>
      <w:r>
        <w:t>. Die Geschichte eines Mörders.</w:t>
      </w:r>
      <w:r w:rsidR="002F63C3" w:rsidRPr="00BC7162">
        <w:t>, Deutschland: Eichinger Produktion 2006</w:t>
      </w:r>
    </w:p>
    <w:p w:rsidR="002F63C3" w:rsidRDefault="002F63C3" w:rsidP="00BC7162">
      <w:pPr>
        <w:jc w:val="both"/>
      </w:pPr>
    </w:p>
    <w:p w:rsidR="00887EE3" w:rsidRDefault="00887EE3" w:rsidP="00BC7162">
      <w:pPr>
        <w:jc w:val="both"/>
      </w:pPr>
    </w:p>
    <w:p w:rsidR="002F63C3" w:rsidRPr="002F63C3" w:rsidRDefault="002F63C3" w:rsidP="00BC7162">
      <w:pPr>
        <w:pStyle w:val="Listenabsatz"/>
        <w:numPr>
          <w:ilvl w:val="0"/>
          <w:numId w:val="12"/>
        </w:numPr>
        <w:jc w:val="both"/>
        <w:rPr>
          <w:u w:val="single"/>
        </w:rPr>
      </w:pPr>
      <w:proofErr w:type="spellStart"/>
      <w:r w:rsidRPr="002F63C3">
        <w:rPr>
          <w:u w:val="single"/>
          <w:shd w:val="clear" w:color="auto" w:fill="00FFFF"/>
        </w:rPr>
        <w:t>Piktographie</w:t>
      </w:r>
      <w:proofErr w:type="spellEnd"/>
      <w:r w:rsidRPr="002F63C3">
        <w:rPr>
          <w:u w:val="single"/>
        </w:rPr>
        <w:t xml:space="preserve"> </w:t>
      </w:r>
    </w:p>
    <w:p w:rsidR="002F63C3" w:rsidRPr="00887EE3" w:rsidRDefault="00887EE3" w:rsidP="00BC7162">
      <w:pPr>
        <w:jc w:val="both"/>
        <w:rPr>
          <w:lang w:val="fr-CH"/>
        </w:rPr>
      </w:pPr>
      <w:r w:rsidRPr="00887EE3">
        <w:rPr>
          <w:lang w:val="fr-CH"/>
        </w:rPr>
        <w:t>Grenouille, In : Cinema.de</w:t>
      </w:r>
      <w:r>
        <w:rPr>
          <w:lang w:val="fr-CH"/>
        </w:rPr>
        <w:t xml:space="preserve">, </w:t>
      </w:r>
      <w:hyperlink r:id="rId11" w:history="1">
        <w:r w:rsidR="002F63C3" w:rsidRPr="00887EE3">
          <w:rPr>
            <w:rStyle w:val="Hyperlink"/>
            <w:lang w:val="fr-CH"/>
          </w:rPr>
          <w:t>http://www.cinema.de/kino/filmarchiv/film/das-parfum-die-geschichte-eines-moerders,1308090,ApplicationMovie.html?tab=Bilder</w:t>
        </w:r>
      </w:hyperlink>
      <w:r w:rsidRPr="00887EE3">
        <w:rPr>
          <w:lang w:val="fr-CH"/>
        </w:rPr>
        <w:t xml:space="preserve"> </w:t>
      </w:r>
      <w:r>
        <w:rPr>
          <w:lang w:val="fr-CH"/>
        </w:rPr>
        <w:t>[08.09.2010]</w:t>
      </w:r>
    </w:p>
    <w:p w:rsidR="00887EE3" w:rsidRPr="00887EE3" w:rsidRDefault="00887EE3" w:rsidP="00BC7162">
      <w:pPr>
        <w:jc w:val="both"/>
        <w:rPr>
          <w:b/>
          <w:u w:val="single"/>
          <w:lang w:val="fr-CH"/>
        </w:rPr>
      </w:pPr>
    </w:p>
    <w:p w:rsidR="002F63C3" w:rsidRPr="00887EE3" w:rsidRDefault="00887EE3" w:rsidP="00BC7162">
      <w:pPr>
        <w:jc w:val="both"/>
        <w:rPr>
          <w:lang w:val="fr-CH"/>
        </w:rPr>
      </w:pPr>
      <w:r w:rsidRPr="00887EE3">
        <w:rPr>
          <w:lang w:val="fr-CH"/>
        </w:rPr>
        <w:t xml:space="preserve">Grenouille, </w:t>
      </w:r>
      <w:r>
        <w:rPr>
          <w:lang w:val="fr-CH"/>
        </w:rPr>
        <w:t xml:space="preserve">In : </w:t>
      </w:r>
      <w:proofErr w:type="spellStart"/>
      <w:r>
        <w:rPr>
          <w:lang w:val="fr-CH"/>
        </w:rPr>
        <w:t>Movie</w:t>
      </w:r>
      <w:proofErr w:type="spellEnd"/>
      <w:r>
        <w:rPr>
          <w:lang w:val="fr-CH"/>
        </w:rPr>
        <w:t xml:space="preserve">-Infos, </w:t>
      </w:r>
      <w:hyperlink r:id="rId12" w:history="1">
        <w:r w:rsidR="002F63C3" w:rsidRPr="00887EE3">
          <w:rPr>
            <w:rStyle w:val="Hyperlink"/>
            <w:lang w:val="fr-CH"/>
          </w:rPr>
          <w:t>http://www.movie-infos.de/galerie_search.php?show_result=1&amp;page=2</w:t>
        </w:r>
      </w:hyperlink>
      <w:r w:rsidR="002F63C3" w:rsidRPr="00887EE3">
        <w:rPr>
          <w:lang w:val="fr-CH"/>
        </w:rPr>
        <w:t xml:space="preserve"> </w:t>
      </w:r>
      <w:r>
        <w:rPr>
          <w:lang w:val="fr-CH"/>
        </w:rPr>
        <w:t>[09.09.2010]</w:t>
      </w:r>
    </w:p>
    <w:p w:rsidR="00637387" w:rsidRPr="00887EE3" w:rsidRDefault="00637387" w:rsidP="00372240">
      <w:pPr>
        <w:spacing w:line="360" w:lineRule="auto"/>
        <w:jc w:val="both"/>
        <w:rPr>
          <w:lang w:val="fr-CH"/>
        </w:rPr>
      </w:pPr>
    </w:p>
    <w:p w:rsidR="00BC7162" w:rsidRPr="00887EE3" w:rsidRDefault="00BC7162">
      <w:pPr>
        <w:rPr>
          <w:lang w:val="fr-CH"/>
        </w:rPr>
      </w:pPr>
    </w:p>
    <w:sectPr w:rsidR="00BC7162" w:rsidRPr="00887EE3" w:rsidSect="00827562">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D5D" w:rsidRDefault="00854D5D" w:rsidP="00CD3C17">
      <w:r>
        <w:separator/>
      </w:r>
    </w:p>
  </w:endnote>
  <w:endnote w:type="continuationSeparator" w:id="0">
    <w:p w:rsidR="00854D5D" w:rsidRDefault="00854D5D" w:rsidP="00CD3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565"/>
      <w:docPartObj>
        <w:docPartGallery w:val="Page Numbers (Bottom of Page)"/>
        <w:docPartUnique/>
      </w:docPartObj>
    </w:sdtPr>
    <w:sdtContent>
      <w:p w:rsidR="00557DBC" w:rsidRDefault="006B59F2">
        <w:pPr>
          <w:pStyle w:val="Fuzeile"/>
          <w:jc w:val="center"/>
        </w:pPr>
        <w:fldSimple w:instr=" PAGE   \* MERGEFORMAT ">
          <w:r w:rsidR="00726FD6">
            <w:rPr>
              <w:noProof/>
            </w:rPr>
            <w:t>2</w:t>
          </w:r>
        </w:fldSimple>
      </w:p>
    </w:sdtContent>
  </w:sdt>
  <w:p w:rsidR="00557DBC" w:rsidRDefault="00557DB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D5D" w:rsidRDefault="00854D5D" w:rsidP="00CD3C17">
      <w:r>
        <w:separator/>
      </w:r>
    </w:p>
  </w:footnote>
  <w:footnote w:type="continuationSeparator" w:id="0">
    <w:p w:rsidR="00854D5D" w:rsidRDefault="00854D5D" w:rsidP="00CD3C17">
      <w:r>
        <w:continuationSeparator/>
      </w:r>
    </w:p>
  </w:footnote>
  <w:footnote w:id="1">
    <w:p w:rsidR="00557DBC" w:rsidRDefault="00557DBC" w:rsidP="00637387">
      <w:pPr>
        <w:pStyle w:val="Funotentext"/>
      </w:pPr>
      <w:r>
        <w:rPr>
          <w:rStyle w:val="Funotenzeichen"/>
        </w:rPr>
        <w:footnoteRef/>
      </w:r>
      <w:r>
        <w:t xml:space="preserve"> Vgl. </w:t>
      </w:r>
      <w:proofErr w:type="spellStart"/>
      <w:r>
        <w:t>Paech</w:t>
      </w:r>
      <w:proofErr w:type="spellEnd"/>
      <w:r>
        <w:t>, 1984, S.11-14 [Hervorhebung durch Verf.]</w:t>
      </w:r>
    </w:p>
  </w:footnote>
  <w:footnote w:id="2">
    <w:p w:rsidR="00557DBC" w:rsidRDefault="00557DBC" w:rsidP="00637387">
      <w:pPr>
        <w:pStyle w:val="Funotentext"/>
      </w:pPr>
      <w:r>
        <w:rPr>
          <w:rStyle w:val="Funotenzeichen"/>
        </w:rPr>
        <w:footnoteRef/>
      </w:r>
      <w:r>
        <w:t xml:space="preserve"> </w:t>
      </w:r>
      <w:proofErr w:type="spellStart"/>
      <w:r>
        <w:t>Albersmeier</w:t>
      </w:r>
      <w:proofErr w:type="spellEnd"/>
      <w:r>
        <w:t>, 1989, S. 15f</w:t>
      </w:r>
    </w:p>
  </w:footnote>
  <w:footnote w:id="3">
    <w:p w:rsidR="00557DBC" w:rsidRDefault="00557DBC" w:rsidP="00637387">
      <w:pPr>
        <w:pStyle w:val="Funotentext"/>
      </w:pPr>
      <w:r>
        <w:rPr>
          <w:rStyle w:val="Funotenzeichen"/>
        </w:rPr>
        <w:footnoteRef/>
      </w:r>
      <w:r>
        <w:t xml:space="preserve"> Eichenbaum, 1965, S. 72</w:t>
      </w:r>
    </w:p>
  </w:footnote>
  <w:footnote w:id="4">
    <w:p w:rsidR="00557DBC" w:rsidRDefault="00557DBC" w:rsidP="00637387">
      <w:pPr>
        <w:pStyle w:val="Funotentext"/>
      </w:pPr>
      <w:r>
        <w:rPr>
          <w:rStyle w:val="Funotenzeichen"/>
        </w:rPr>
        <w:footnoteRef/>
      </w:r>
      <w:r>
        <w:t xml:space="preserve"> Vgl. Kracauer, 1975, S. 307 [Hervorhebung durch Verf.]</w:t>
      </w:r>
    </w:p>
  </w:footnote>
  <w:footnote w:id="5">
    <w:p w:rsidR="00557DBC" w:rsidRPr="00AD6AC3" w:rsidRDefault="00557DBC" w:rsidP="00637387">
      <w:pPr>
        <w:pStyle w:val="Funotentext"/>
        <w:rPr>
          <w:lang w:val="en-US"/>
        </w:rPr>
      </w:pPr>
      <w:r>
        <w:rPr>
          <w:rStyle w:val="Funotenzeichen"/>
        </w:rPr>
        <w:footnoteRef/>
      </w:r>
      <w:r w:rsidRPr="00AD6AC3">
        <w:rPr>
          <w:lang w:val="en-US"/>
        </w:rPr>
        <w:t xml:space="preserve"> Vgl. </w:t>
      </w:r>
      <w:proofErr w:type="spellStart"/>
      <w:r w:rsidRPr="00AD6AC3">
        <w:rPr>
          <w:lang w:val="en-US"/>
        </w:rPr>
        <w:t>Florian</w:t>
      </w:r>
      <w:proofErr w:type="spellEnd"/>
      <w:r w:rsidRPr="00AD6AC3">
        <w:rPr>
          <w:lang w:val="en-US"/>
        </w:rPr>
        <w:t>, 2008</w:t>
      </w:r>
    </w:p>
  </w:footnote>
  <w:footnote w:id="6">
    <w:p w:rsidR="00557DBC" w:rsidRPr="00AD6AC3" w:rsidRDefault="00557DBC" w:rsidP="00637387">
      <w:pPr>
        <w:pStyle w:val="Funotentext"/>
        <w:rPr>
          <w:lang w:val="en-US"/>
        </w:rPr>
      </w:pPr>
      <w:r>
        <w:rPr>
          <w:rStyle w:val="Funotenzeichen"/>
        </w:rPr>
        <w:footnoteRef/>
      </w:r>
      <w:r w:rsidRPr="00AD6AC3">
        <w:rPr>
          <w:lang w:val="en-US"/>
        </w:rPr>
        <w:t xml:space="preserve"> Vgl. Kling, 2002, S.4 </w:t>
      </w:r>
    </w:p>
  </w:footnote>
  <w:footnote w:id="7">
    <w:p w:rsidR="00557DBC" w:rsidRDefault="00557DBC" w:rsidP="00637387">
      <w:pPr>
        <w:pStyle w:val="Funotentext"/>
      </w:pPr>
      <w:r>
        <w:rPr>
          <w:rStyle w:val="Funotenzeichen"/>
        </w:rPr>
        <w:footnoteRef/>
      </w:r>
      <w:r>
        <w:t xml:space="preserve"> Vgl. Kling, 2002, S. 5</w:t>
      </w:r>
    </w:p>
  </w:footnote>
  <w:footnote w:id="8">
    <w:p w:rsidR="00557DBC" w:rsidRDefault="00557DBC" w:rsidP="00637387">
      <w:pPr>
        <w:pStyle w:val="Funotentext"/>
      </w:pPr>
      <w:r>
        <w:rPr>
          <w:rStyle w:val="Funotenzeichen"/>
        </w:rPr>
        <w:footnoteRef/>
      </w:r>
      <w:r>
        <w:t xml:space="preserve"> Vgl. Eicher, 1994, S. 22 </w:t>
      </w:r>
    </w:p>
  </w:footnote>
  <w:footnote w:id="9">
    <w:p w:rsidR="00557DBC" w:rsidRDefault="00557DBC" w:rsidP="00637387">
      <w:pPr>
        <w:pStyle w:val="Funotentext"/>
      </w:pPr>
      <w:r>
        <w:rPr>
          <w:rStyle w:val="Funotenzeichen"/>
        </w:rPr>
        <w:footnoteRef/>
      </w:r>
      <w:r>
        <w:t xml:space="preserve"> Paech,1997, S. 335 </w:t>
      </w:r>
    </w:p>
  </w:footnote>
  <w:footnote w:id="10">
    <w:p w:rsidR="00557DBC" w:rsidRDefault="00557DBC" w:rsidP="00637387">
      <w:pPr>
        <w:pStyle w:val="Funotentext"/>
      </w:pPr>
      <w:r>
        <w:rPr>
          <w:rStyle w:val="Funotenzeichen"/>
        </w:rPr>
        <w:footnoteRef/>
      </w:r>
      <w:r>
        <w:t xml:space="preserve"> Süskind, 2002, S.5</w:t>
      </w:r>
    </w:p>
  </w:footnote>
  <w:footnote w:id="11">
    <w:p w:rsidR="00557DBC" w:rsidRDefault="00557DBC" w:rsidP="00637387">
      <w:pPr>
        <w:pStyle w:val="Funotentext"/>
      </w:pPr>
      <w:r>
        <w:rPr>
          <w:rStyle w:val="Funotenzeichen"/>
        </w:rPr>
        <w:footnoteRef/>
      </w:r>
      <w:r>
        <w:t xml:space="preserve"> Süskind, 2002, S. 5f [Anm.d.Verf.]</w:t>
      </w:r>
    </w:p>
  </w:footnote>
  <w:footnote w:id="12">
    <w:p w:rsidR="00557DBC" w:rsidRPr="00FF39D2" w:rsidRDefault="00557DBC" w:rsidP="00637387">
      <w:pPr>
        <w:pStyle w:val="Funotentext"/>
        <w:rPr>
          <w:lang w:val="en-US"/>
        </w:rPr>
      </w:pPr>
      <w:r>
        <w:rPr>
          <w:rStyle w:val="Funotenzeichen"/>
        </w:rPr>
        <w:footnoteRef/>
      </w:r>
      <w:r w:rsidRPr="00FF39D2">
        <w:rPr>
          <w:lang w:val="en-US"/>
        </w:rPr>
        <w:t xml:space="preserve"> Vgl. </w:t>
      </w:r>
      <w:proofErr w:type="spellStart"/>
      <w:r w:rsidRPr="00FF39D2">
        <w:rPr>
          <w:lang w:val="en-US"/>
        </w:rPr>
        <w:t>Frizen</w:t>
      </w:r>
      <w:proofErr w:type="spellEnd"/>
      <w:r w:rsidRPr="00FF39D2">
        <w:rPr>
          <w:lang w:val="en-US"/>
        </w:rPr>
        <w:t>, 1998, S.116</w:t>
      </w:r>
    </w:p>
  </w:footnote>
  <w:footnote w:id="13">
    <w:p w:rsidR="00557DBC" w:rsidRPr="00FF39D2" w:rsidRDefault="00557DBC" w:rsidP="00637387">
      <w:pPr>
        <w:pStyle w:val="Funotentext"/>
        <w:rPr>
          <w:lang w:val="en-US"/>
        </w:rPr>
      </w:pPr>
      <w:r>
        <w:rPr>
          <w:rStyle w:val="Funotenzeichen"/>
        </w:rPr>
        <w:footnoteRef/>
      </w:r>
      <w:r w:rsidRPr="00FF39D2">
        <w:rPr>
          <w:lang w:val="en-US"/>
        </w:rPr>
        <w:t xml:space="preserve"> Vgl. </w:t>
      </w:r>
      <w:proofErr w:type="spellStart"/>
      <w:r w:rsidRPr="00FF39D2">
        <w:rPr>
          <w:lang w:val="en-US"/>
        </w:rPr>
        <w:t>Frizen</w:t>
      </w:r>
      <w:proofErr w:type="spellEnd"/>
      <w:r w:rsidRPr="00FF39D2">
        <w:rPr>
          <w:lang w:val="en-US"/>
        </w:rPr>
        <w:t>, 1998,  S.116</w:t>
      </w:r>
    </w:p>
  </w:footnote>
  <w:footnote w:id="14">
    <w:p w:rsidR="00557DBC" w:rsidRDefault="00557DBC" w:rsidP="00637387">
      <w:pPr>
        <w:pStyle w:val="Funotentext"/>
      </w:pPr>
      <w:r>
        <w:rPr>
          <w:rStyle w:val="Funotenzeichen"/>
        </w:rPr>
        <w:footnoteRef/>
      </w:r>
      <w:r>
        <w:t xml:space="preserve"> Süskind,2002 S. 6</w:t>
      </w:r>
    </w:p>
  </w:footnote>
  <w:footnote w:id="15">
    <w:p w:rsidR="00557DBC" w:rsidRDefault="00557DBC" w:rsidP="00637387">
      <w:pPr>
        <w:pStyle w:val="Funotentext"/>
      </w:pPr>
      <w:r>
        <w:rPr>
          <w:rStyle w:val="Funotenzeichen"/>
        </w:rPr>
        <w:footnoteRef/>
      </w:r>
      <w:r>
        <w:t xml:space="preserve"> Süskind, 2002; S. 7</w:t>
      </w:r>
    </w:p>
  </w:footnote>
  <w:footnote w:id="16">
    <w:p w:rsidR="00557DBC" w:rsidRPr="00FF39D2" w:rsidRDefault="00557DBC" w:rsidP="00E50920">
      <w:pPr>
        <w:pStyle w:val="Funotentext"/>
      </w:pPr>
      <w:r>
        <w:rPr>
          <w:rStyle w:val="Funotenzeichen"/>
        </w:rPr>
        <w:footnoteRef/>
      </w:r>
      <w:r w:rsidRPr="00FF39D2">
        <w:t xml:space="preserve"> Vgl. Scherf, 2006, S. 334</w:t>
      </w:r>
    </w:p>
  </w:footnote>
  <w:footnote w:id="17">
    <w:p w:rsidR="00557DBC" w:rsidRDefault="00557DBC" w:rsidP="00E50920">
      <w:pPr>
        <w:pStyle w:val="Funotentext"/>
      </w:pPr>
      <w:r>
        <w:rPr>
          <w:rStyle w:val="Funotenzeichen"/>
        </w:rPr>
        <w:footnoteRef/>
      </w:r>
      <w:r>
        <w:t xml:space="preserve"> vgl. </w:t>
      </w:r>
      <w:proofErr w:type="spellStart"/>
      <w:r>
        <w:t>Degler</w:t>
      </w:r>
      <w:proofErr w:type="spellEnd"/>
      <w:r>
        <w:t>, 2003 S. 260</w:t>
      </w:r>
    </w:p>
  </w:footnote>
  <w:footnote w:id="18">
    <w:p w:rsidR="00557DBC" w:rsidRDefault="00557DBC" w:rsidP="00E50920">
      <w:pPr>
        <w:pStyle w:val="Funotentext"/>
      </w:pPr>
      <w:r>
        <w:rPr>
          <w:rStyle w:val="Funotenzeichen"/>
        </w:rPr>
        <w:footnoteRef/>
      </w:r>
      <w:r>
        <w:t xml:space="preserve"> Süskind, 2002,  S. 316 [Anm.d.Verf.]</w:t>
      </w:r>
    </w:p>
  </w:footnote>
  <w:footnote w:id="19">
    <w:p w:rsidR="00557DBC" w:rsidRDefault="00557DBC" w:rsidP="00E50920">
      <w:pPr>
        <w:pStyle w:val="Funotentext"/>
      </w:pPr>
      <w:r>
        <w:rPr>
          <w:rStyle w:val="Funotenzeichen"/>
        </w:rPr>
        <w:footnoteRef/>
      </w:r>
      <w:r>
        <w:t xml:space="preserve"> vgl. Süskind, 2002,. S. 198 [Anm.d.Verf.]</w:t>
      </w:r>
    </w:p>
  </w:footnote>
  <w:footnote w:id="20">
    <w:p w:rsidR="00557DBC" w:rsidRPr="00FF39D2" w:rsidRDefault="00557DBC" w:rsidP="00406437">
      <w:pPr>
        <w:pStyle w:val="Funotentext"/>
      </w:pPr>
      <w:r>
        <w:rPr>
          <w:rStyle w:val="Funotenzeichen"/>
        </w:rPr>
        <w:footnoteRef/>
      </w:r>
      <w:r w:rsidRPr="00FF39D2">
        <w:t xml:space="preserve"> Süskind, 2002, S. 5.</w:t>
      </w:r>
    </w:p>
  </w:footnote>
  <w:footnote w:id="21">
    <w:p w:rsidR="00C4479D" w:rsidRDefault="00C4479D" w:rsidP="00C4479D">
      <w:pPr>
        <w:pStyle w:val="Funotentext"/>
      </w:pPr>
      <w:r>
        <w:rPr>
          <w:rStyle w:val="Funotenzeichen"/>
        </w:rPr>
        <w:footnoteRef/>
      </w:r>
      <w:r>
        <w:t xml:space="preserve"> vgl. Süskind, Patrick; S. 49</w:t>
      </w:r>
    </w:p>
  </w:footnote>
  <w:footnote w:id="22">
    <w:p w:rsidR="00557DBC" w:rsidRPr="00FF39D2" w:rsidRDefault="00557DBC" w:rsidP="00406437">
      <w:pPr>
        <w:pStyle w:val="Funotentext"/>
      </w:pPr>
      <w:r>
        <w:rPr>
          <w:rStyle w:val="Funotenzeichen"/>
        </w:rPr>
        <w:footnoteRef/>
      </w:r>
      <w:r w:rsidRPr="00FF39D2">
        <w:t xml:space="preserve"> Süskind, 2002, S. 5f [Anm.d.Verf.]</w:t>
      </w:r>
    </w:p>
  </w:footnote>
  <w:footnote w:id="23">
    <w:p w:rsidR="00557DBC" w:rsidRPr="00FF39D2" w:rsidRDefault="00557DBC" w:rsidP="00743C32">
      <w:pPr>
        <w:pStyle w:val="Funotentext"/>
      </w:pPr>
      <w:r>
        <w:rPr>
          <w:rStyle w:val="Funotenzeichen"/>
        </w:rPr>
        <w:footnoteRef/>
      </w:r>
      <w:r w:rsidRPr="00FF39D2">
        <w:t xml:space="preserve"> Vgl. Florian, 2008, S. 89 </w:t>
      </w:r>
    </w:p>
  </w:footnote>
  <w:footnote w:id="24">
    <w:p w:rsidR="00557DBC" w:rsidRPr="00FF39D2" w:rsidRDefault="00557DBC" w:rsidP="00743C32">
      <w:pPr>
        <w:pStyle w:val="Funotentext"/>
      </w:pPr>
      <w:r>
        <w:rPr>
          <w:rStyle w:val="Funotenzeichen"/>
        </w:rPr>
        <w:footnoteRef/>
      </w:r>
      <w:r w:rsidRPr="00FF39D2">
        <w:t xml:space="preserve">Grenouille, In : Cinema.de,  </w:t>
      </w:r>
      <w:hyperlink r:id="rId1" w:history="1">
        <w:r w:rsidRPr="00FF39D2">
          <w:rPr>
            <w:rStyle w:val="Hyperlink"/>
          </w:rPr>
          <w:t>http://www.cinema.de/kino/filmarchiv/film/das-parfum-die-geschichte-eines-moerders,1308090,ApplicationMovie.html?tab=Bilder</w:t>
        </w:r>
      </w:hyperlink>
      <w:r w:rsidRPr="00FF39D2">
        <w:t xml:space="preserve"> [08.09.2010]</w:t>
      </w:r>
    </w:p>
  </w:footnote>
  <w:footnote w:id="25">
    <w:p w:rsidR="00557DBC" w:rsidRDefault="00557DBC" w:rsidP="00E50920">
      <w:pPr>
        <w:pStyle w:val="Funotentext"/>
      </w:pPr>
      <w:r>
        <w:rPr>
          <w:rStyle w:val="Funotenzeichen"/>
        </w:rPr>
        <w:footnoteRef/>
      </w:r>
      <w:r>
        <w:t xml:space="preserve"> Süskind, 2002,  S. 319</w:t>
      </w:r>
    </w:p>
  </w:footnote>
  <w:footnote w:id="26">
    <w:p w:rsidR="00557DBC" w:rsidRPr="00887EE3" w:rsidRDefault="00557DBC" w:rsidP="00E50920">
      <w:pPr>
        <w:pStyle w:val="Funotentext"/>
      </w:pPr>
      <w:r>
        <w:rPr>
          <w:rStyle w:val="Funotenzeichen"/>
        </w:rPr>
        <w:footnoteRef/>
      </w:r>
      <w:r w:rsidRPr="00887EE3">
        <w:t xml:space="preserve"> Grenouille, In : </w:t>
      </w:r>
      <w:hyperlink r:id="rId2" w:history="1">
        <w:r w:rsidRPr="00887EE3">
          <w:rPr>
            <w:rStyle w:val="Hyperlink"/>
          </w:rPr>
          <w:t>http://www.movie-infos.de/galerie_search.php?show_result=1&amp;page=2</w:t>
        </w:r>
      </w:hyperlink>
      <w:r w:rsidRPr="00887EE3">
        <w:t xml:space="preserve"> [</w:t>
      </w:r>
      <w:r>
        <w:t>09.09.2010]</w:t>
      </w:r>
    </w:p>
  </w:footnote>
  <w:footnote w:id="27">
    <w:p w:rsidR="00557DBC" w:rsidRPr="006C7C60" w:rsidRDefault="00557DBC" w:rsidP="00743C32">
      <w:pPr>
        <w:pStyle w:val="Funotentext"/>
      </w:pPr>
      <w:r>
        <w:rPr>
          <w:rStyle w:val="Funotenzeichen"/>
        </w:rPr>
        <w:footnoteRef/>
      </w:r>
      <w:r>
        <w:t xml:space="preserve"> </w:t>
      </w:r>
      <w:proofErr w:type="spellStart"/>
      <w:r>
        <w:t>Prümm</w:t>
      </w:r>
      <w:proofErr w:type="spellEnd"/>
      <w:r>
        <w:t xml:space="preserve">, </w:t>
      </w:r>
      <w:r w:rsidRPr="006C7C60">
        <w:t>2004, S. 51</w:t>
      </w:r>
    </w:p>
  </w:footnote>
  <w:footnote w:id="28">
    <w:p w:rsidR="00557DBC" w:rsidRPr="00AD6AC3" w:rsidRDefault="00557DBC" w:rsidP="00743C32">
      <w:pPr>
        <w:pStyle w:val="Funotentext"/>
      </w:pPr>
      <w:r w:rsidRPr="006C7C60">
        <w:rPr>
          <w:rStyle w:val="Funotenzeichen"/>
        </w:rPr>
        <w:footnoteRef/>
      </w:r>
      <w:r w:rsidRPr="00AD6AC3">
        <w:t xml:space="preserve"> </w:t>
      </w:r>
      <w:proofErr w:type="spellStart"/>
      <w:r w:rsidRPr="00AD6AC3">
        <w:t>Radeck</w:t>
      </w:r>
      <w:proofErr w:type="spellEnd"/>
      <w:r w:rsidRPr="00AD6AC3">
        <w:t>, 2004, S. 53 [Anm.d.Ve</w:t>
      </w:r>
      <w:r>
        <w:t>rf.]</w:t>
      </w:r>
    </w:p>
  </w:footnote>
  <w:footnote w:id="29">
    <w:p w:rsidR="00557DBC" w:rsidRDefault="00557DBC">
      <w:pPr>
        <w:pStyle w:val="Funotentext"/>
      </w:pPr>
      <w:r>
        <w:rPr>
          <w:rStyle w:val="Funotenzeichen"/>
        </w:rPr>
        <w:footnoteRef/>
      </w:r>
      <w:r>
        <w:t xml:space="preserve"> Süskind, 2002, S.5</w:t>
      </w:r>
    </w:p>
  </w:footnote>
  <w:footnote w:id="30">
    <w:p w:rsidR="00557DBC" w:rsidRDefault="00557DBC">
      <w:pPr>
        <w:pStyle w:val="Funotentext"/>
      </w:pPr>
      <w:r>
        <w:rPr>
          <w:rStyle w:val="Funotenzeichen"/>
        </w:rPr>
        <w:footnoteRef/>
      </w:r>
      <w:r>
        <w:t xml:space="preserve"> Süskind, 2002, S.188 [Anm.d.Verf.]</w:t>
      </w:r>
    </w:p>
  </w:footnote>
  <w:footnote w:id="31">
    <w:p w:rsidR="00557DBC" w:rsidRDefault="00557DBC">
      <w:pPr>
        <w:pStyle w:val="Funotentext"/>
      </w:pPr>
      <w:r>
        <w:rPr>
          <w:rStyle w:val="Funotenzeichen"/>
        </w:rPr>
        <w:footnoteRef/>
      </w:r>
      <w:r>
        <w:t xml:space="preserve"> Süskind, 2002, S. 167[Anm.d.Verf.]</w:t>
      </w:r>
    </w:p>
  </w:footnote>
  <w:footnote w:id="32">
    <w:p w:rsidR="00557DBC" w:rsidRDefault="00557DBC">
      <w:pPr>
        <w:pStyle w:val="Funotentext"/>
      </w:pPr>
      <w:r>
        <w:rPr>
          <w:rStyle w:val="Funotenzeichen"/>
        </w:rPr>
        <w:footnoteRef/>
      </w:r>
      <w:r>
        <w:t xml:space="preserve"> Süskind, 2002, S.40[Anm.d.Verf.]</w:t>
      </w:r>
    </w:p>
  </w:footnote>
  <w:footnote w:id="33">
    <w:p w:rsidR="00557DBC" w:rsidRDefault="00557DBC">
      <w:pPr>
        <w:pStyle w:val="Funotentext"/>
      </w:pPr>
      <w:r>
        <w:rPr>
          <w:rStyle w:val="Funotenzeichen"/>
        </w:rPr>
        <w:footnoteRef/>
      </w:r>
      <w:r>
        <w:t xml:space="preserve"> Süskind, 2002, S.267</w:t>
      </w:r>
    </w:p>
  </w:footnote>
  <w:footnote w:id="34">
    <w:p w:rsidR="00557DBC" w:rsidRDefault="00557DBC">
      <w:pPr>
        <w:pStyle w:val="Funotentext"/>
      </w:pPr>
      <w:r>
        <w:rPr>
          <w:rStyle w:val="Funotenzeichen"/>
        </w:rPr>
        <w:footnoteRef/>
      </w:r>
      <w:r>
        <w:t xml:space="preserve"> Süskind, 2002, S.</w:t>
      </w:r>
      <w:r w:rsidRPr="002742F2">
        <w:t xml:space="preserve"> </w:t>
      </w:r>
      <w:r>
        <w:t>[Anm.d.Verf.]</w:t>
      </w:r>
    </w:p>
  </w:footnote>
  <w:footnote w:id="35">
    <w:p w:rsidR="00557DBC" w:rsidRDefault="00557DBC">
      <w:pPr>
        <w:pStyle w:val="Funotentext"/>
      </w:pPr>
      <w:r>
        <w:rPr>
          <w:rStyle w:val="Funotenzeichen"/>
        </w:rPr>
        <w:footnoteRef/>
      </w:r>
      <w:r>
        <w:t xml:space="preserve"> Süskind, 2002, S.178 [Anm.d.Verf.]</w:t>
      </w:r>
    </w:p>
  </w:footnote>
  <w:footnote w:id="36">
    <w:p w:rsidR="00557DBC" w:rsidRDefault="00557DBC">
      <w:pPr>
        <w:pStyle w:val="Funotentext"/>
      </w:pPr>
      <w:r>
        <w:rPr>
          <w:rStyle w:val="Funotenzeichen"/>
        </w:rPr>
        <w:footnoteRef/>
      </w:r>
      <w:r>
        <w:t xml:space="preserve"> Süskind, 2002, S.</w:t>
      </w:r>
      <w:r w:rsidRPr="002742F2">
        <w:t xml:space="preserve"> </w:t>
      </w:r>
      <w:r>
        <w:t>[Anm.d.Verf.]</w:t>
      </w:r>
    </w:p>
  </w:footnote>
  <w:footnote w:id="37">
    <w:p w:rsidR="00557DBC" w:rsidRDefault="00557DBC">
      <w:pPr>
        <w:pStyle w:val="Funotentext"/>
      </w:pPr>
      <w:r>
        <w:rPr>
          <w:rStyle w:val="Funotenzeichen"/>
        </w:rPr>
        <w:footnoteRef/>
      </w:r>
      <w:r>
        <w:t xml:space="preserve"> Süskind, 2002, S.170[Anm.d.Verf.]</w:t>
      </w:r>
    </w:p>
  </w:footnote>
  <w:footnote w:id="38">
    <w:p w:rsidR="00557DBC" w:rsidRDefault="00557DBC">
      <w:pPr>
        <w:pStyle w:val="Funotentext"/>
      </w:pPr>
      <w:r>
        <w:rPr>
          <w:rStyle w:val="Funotenzeichen"/>
        </w:rPr>
        <w:footnoteRef/>
      </w:r>
      <w:r>
        <w:t xml:space="preserve"> Süskind, 2002, S.172</w:t>
      </w:r>
    </w:p>
  </w:footnote>
  <w:footnote w:id="39">
    <w:p w:rsidR="00557DBC" w:rsidRDefault="00557DBC">
      <w:pPr>
        <w:pStyle w:val="Funotentext"/>
      </w:pPr>
      <w:r>
        <w:rPr>
          <w:rStyle w:val="Funotenzeichen"/>
        </w:rPr>
        <w:footnoteRef/>
      </w:r>
      <w:r>
        <w:t xml:space="preserve"> Ebda.</w:t>
      </w:r>
    </w:p>
  </w:footnote>
  <w:footnote w:id="40">
    <w:p w:rsidR="00557DBC" w:rsidRDefault="00557DBC">
      <w:pPr>
        <w:pStyle w:val="Funotentext"/>
      </w:pPr>
      <w:r>
        <w:rPr>
          <w:rStyle w:val="Funotenzeichen"/>
        </w:rPr>
        <w:footnoteRef/>
      </w:r>
      <w:r>
        <w:t xml:space="preserve"> Süskind, 2002, S.175 [Anm.d.Verf.]</w:t>
      </w:r>
    </w:p>
  </w:footnote>
  <w:footnote w:id="41">
    <w:p w:rsidR="00557DBC" w:rsidRDefault="00557DBC">
      <w:pPr>
        <w:pStyle w:val="Funotentext"/>
      </w:pPr>
      <w:r>
        <w:rPr>
          <w:rStyle w:val="Funotenzeichen"/>
        </w:rPr>
        <w:footnoteRef/>
      </w:r>
      <w:r>
        <w:t xml:space="preserve"> Anmerkung: Vergleiche hier Süskind, 2002,</w:t>
      </w:r>
      <w:r>
        <w:rPr>
          <w:szCs w:val="28"/>
        </w:rPr>
        <w:t xml:space="preserve"> S. 63f.</w:t>
      </w:r>
    </w:p>
  </w:footnote>
  <w:footnote w:id="42">
    <w:p w:rsidR="00557DBC" w:rsidRDefault="00557DBC">
      <w:pPr>
        <w:pStyle w:val="Funotentext"/>
      </w:pPr>
      <w:r>
        <w:rPr>
          <w:rStyle w:val="Funotenzeichen"/>
        </w:rPr>
        <w:footnoteRef/>
      </w:r>
      <w:r>
        <w:t xml:space="preserve"> Anmerkung: Vergleiche hier Süskind, 2002, S.5</w:t>
      </w:r>
    </w:p>
  </w:footnote>
  <w:footnote w:id="43">
    <w:p w:rsidR="00557DBC" w:rsidRDefault="00557DBC">
      <w:pPr>
        <w:pStyle w:val="Funotentext"/>
      </w:pPr>
      <w:r>
        <w:rPr>
          <w:rStyle w:val="Funotenzeichen"/>
        </w:rPr>
        <w:footnoteRef/>
      </w:r>
      <w:r>
        <w:t xml:space="preserve"> Anmerkung: Vergleiche hier Süskind, 2002, S.</w:t>
      </w:r>
      <w:r>
        <w:rPr>
          <w:szCs w:val="28"/>
        </w:rPr>
        <w:t>171</w:t>
      </w:r>
    </w:p>
  </w:footnote>
  <w:footnote w:id="44">
    <w:p w:rsidR="00557DBC" w:rsidRPr="003C0E44" w:rsidRDefault="00557DBC">
      <w:pPr>
        <w:pStyle w:val="Funotentext"/>
        <w:rPr>
          <w:lang w:val="en-US"/>
        </w:rPr>
      </w:pPr>
      <w:r>
        <w:rPr>
          <w:rStyle w:val="Funotenzeichen"/>
        </w:rPr>
        <w:footnoteRef/>
      </w:r>
      <w:r w:rsidRPr="003C0E44">
        <w:rPr>
          <w:lang w:val="en-US"/>
        </w:rPr>
        <w:t xml:space="preserve"> Heath, 1981, S.35f</w:t>
      </w:r>
    </w:p>
  </w:footnote>
  <w:footnote w:id="45">
    <w:p w:rsidR="00557DBC" w:rsidRPr="003C0E44" w:rsidRDefault="00557DBC">
      <w:pPr>
        <w:pStyle w:val="Funotentext"/>
        <w:rPr>
          <w:lang w:val="en-US"/>
        </w:rPr>
      </w:pPr>
      <w:r>
        <w:rPr>
          <w:rStyle w:val="Funotenzeichen"/>
        </w:rPr>
        <w:footnoteRef/>
      </w:r>
      <w:r w:rsidRPr="003C0E44">
        <w:rPr>
          <w:lang w:val="en-US"/>
        </w:rPr>
        <w:t xml:space="preserve"> Vgl. Bach, 1997, S.30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7064"/>
    <w:multiLevelType w:val="hybridMultilevel"/>
    <w:tmpl w:val="D1A42EBA"/>
    <w:lvl w:ilvl="0" w:tplc="70EA5B8E">
      <w:start w:val="3"/>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8F74A9B"/>
    <w:multiLevelType w:val="hybridMultilevel"/>
    <w:tmpl w:val="6100C652"/>
    <w:lvl w:ilvl="0" w:tplc="044067CC">
      <w:start w:val="1"/>
      <w:numFmt w:val="decimal"/>
      <w:lvlText w:val="%1."/>
      <w:lvlJc w:val="left"/>
      <w:pPr>
        <w:ind w:left="1065" w:hanging="360"/>
      </w:pPr>
      <w:rPr>
        <w:rFonts w:hint="default"/>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nsid w:val="2B924CD1"/>
    <w:multiLevelType w:val="multilevel"/>
    <w:tmpl w:val="FE62AF22"/>
    <w:lvl w:ilvl="0">
      <w:start w:val="1"/>
      <w:numFmt w:val="decimal"/>
      <w:lvlText w:val="%1."/>
      <w:lvlJc w:val="left"/>
      <w:pPr>
        <w:tabs>
          <w:tab w:val="num" w:pos="1215"/>
        </w:tabs>
        <w:ind w:left="1215" w:hanging="360"/>
      </w:pPr>
      <w:rPr>
        <w:rFonts w:hint="default"/>
        <w:u w:val="none"/>
      </w:rPr>
    </w:lvl>
    <w:lvl w:ilvl="1">
      <w:start w:val="1"/>
      <w:numFmt w:val="decimal"/>
      <w:isLgl/>
      <w:lvlText w:val="%1.%2."/>
      <w:lvlJc w:val="left"/>
      <w:pPr>
        <w:tabs>
          <w:tab w:val="num" w:pos="1275"/>
        </w:tabs>
        <w:ind w:left="1275" w:hanging="4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3">
    <w:nsid w:val="308A49A0"/>
    <w:multiLevelType w:val="multilevel"/>
    <w:tmpl w:val="C42A2F82"/>
    <w:lvl w:ilvl="0">
      <w:start w:val="1"/>
      <w:numFmt w:val="decimal"/>
      <w:lvlText w:val="%1."/>
      <w:lvlJc w:val="left"/>
      <w:pPr>
        <w:tabs>
          <w:tab w:val="num" w:pos="1215"/>
        </w:tabs>
        <w:ind w:left="1215" w:hanging="360"/>
      </w:pPr>
      <w:rPr>
        <w:rFonts w:hint="default"/>
        <w:u w:val="none"/>
      </w:rPr>
    </w:lvl>
    <w:lvl w:ilvl="1">
      <w:start w:val="1"/>
      <w:numFmt w:val="decimal"/>
      <w:isLgl/>
      <w:lvlText w:val="%1.%2."/>
      <w:lvlJc w:val="left"/>
      <w:pPr>
        <w:tabs>
          <w:tab w:val="num" w:pos="1275"/>
        </w:tabs>
        <w:ind w:left="1275" w:hanging="4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4">
    <w:nsid w:val="383D2821"/>
    <w:multiLevelType w:val="multilevel"/>
    <w:tmpl w:val="C42A2F82"/>
    <w:lvl w:ilvl="0">
      <w:start w:val="1"/>
      <w:numFmt w:val="decimal"/>
      <w:lvlText w:val="%1."/>
      <w:lvlJc w:val="left"/>
      <w:pPr>
        <w:tabs>
          <w:tab w:val="num" w:pos="1215"/>
        </w:tabs>
        <w:ind w:left="1215" w:hanging="360"/>
      </w:pPr>
      <w:rPr>
        <w:rFonts w:hint="default"/>
        <w:u w:val="none"/>
      </w:rPr>
    </w:lvl>
    <w:lvl w:ilvl="1">
      <w:start w:val="1"/>
      <w:numFmt w:val="decimal"/>
      <w:isLgl/>
      <w:lvlText w:val="%1.%2."/>
      <w:lvlJc w:val="left"/>
      <w:pPr>
        <w:tabs>
          <w:tab w:val="num" w:pos="1275"/>
        </w:tabs>
        <w:ind w:left="1275" w:hanging="4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5">
    <w:nsid w:val="43E67FE7"/>
    <w:multiLevelType w:val="multilevel"/>
    <w:tmpl w:val="1CDA3C34"/>
    <w:lvl w:ilvl="0">
      <w:start w:val="1"/>
      <w:numFmt w:val="decimal"/>
      <w:lvlText w:val="%1."/>
      <w:lvlJc w:val="left"/>
      <w:pPr>
        <w:tabs>
          <w:tab w:val="num" w:pos="1410"/>
        </w:tabs>
        <w:ind w:left="1410" w:hanging="705"/>
      </w:pPr>
      <w:rPr>
        <w:rFonts w:hint="default"/>
        <w:u w:val="none"/>
      </w:rPr>
    </w:lvl>
    <w:lvl w:ilvl="1">
      <w:start w:val="1"/>
      <w:numFmt w:val="decimal"/>
      <w:isLgl/>
      <w:lvlText w:val="%1.%2."/>
      <w:lvlJc w:val="left"/>
      <w:pPr>
        <w:tabs>
          <w:tab w:val="num" w:pos="1410"/>
        </w:tabs>
        <w:ind w:left="1410" w:hanging="705"/>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6">
    <w:nsid w:val="5AEE3270"/>
    <w:multiLevelType w:val="hybridMultilevel"/>
    <w:tmpl w:val="831E9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F3E1F5B"/>
    <w:multiLevelType w:val="multilevel"/>
    <w:tmpl w:val="4E601882"/>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1410"/>
        </w:tabs>
        <w:ind w:left="1410" w:hanging="51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8">
    <w:nsid w:val="640C769B"/>
    <w:multiLevelType w:val="multilevel"/>
    <w:tmpl w:val="4546EBEE"/>
    <w:lvl w:ilvl="0">
      <w:start w:val="1"/>
      <w:numFmt w:val="decimal"/>
      <w:lvlText w:val="%1."/>
      <w:lvlJc w:val="left"/>
      <w:pPr>
        <w:tabs>
          <w:tab w:val="num" w:pos="1410"/>
        </w:tabs>
        <w:ind w:left="1410" w:hanging="705"/>
      </w:pPr>
      <w:rPr>
        <w:rFonts w:hint="default"/>
        <w:u w:val="none"/>
      </w:rPr>
    </w:lvl>
    <w:lvl w:ilvl="1">
      <w:start w:val="1"/>
      <w:numFmt w:val="decimal"/>
      <w:isLgl/>
      <w:lvlText w:val="%1.%2."/>
      <w:lvlJc w:val="left"/>
      <w:pPr>
        <w:tabs>
          <w:tab w:val="num" w:pos="1410"/>
        </w:tabs>
        <w:ind w:left="1410" w:hanging="705"/>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9">
    <w:nsid w:val="65C04135"/>
    <w:multiLevelType w:val="hybridMultilevel"/>
    <w:tmpl w:val="261454C4"/>
    <w:lvl w:ilvl="0" w:tplc="8B107EE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6830505"/>
    <w:multiLevelType w:val="hybridMultilevel"/>
    <w:tmpl w:val="BF6C3EE6"/>
    <w:lvl w:ilvl="0" w:tplc="FF646838">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1">
    <w:nsid w:val="6CFC4C49"/>
    <w:multiLevelType w:val="multilevel"/>
    <w:tmpl w:val="C1964C34"/>
    <w:lvl w:ilvl="0">
      <w:start w:val="1"/>
      <w:numFmt w:val="decimal"/>
      <w:lvlText w:val="%1."/>
      <w:lvlJc w:val="left"/>
      <w:pPr>
        <w:tabs>
          <w:tab w:val="num" w:pos="1065"/>
        </w:tabs>
        <w:ind w:left="1065" w:hanging="705"/>
      </w:pPr>
      <w:rPr>
        <w:rFonts w:hint="default"/>
      </w:rPr>
    </w:lvl>
    <w:lvl w:ilvl="1">
      <w:start w:val="3"/>
      <w:numFmt w:val="decimal"/>
      <w:isLgl/>
      <w:lvlText w:val="%1.%2."/>
      <w:lvlJc w:val="left"/>
      <w:pPr>
        <w:tabs>
          <w:tab w:val="num" w:pos="960"/>
        </w:tabs>
        <w:ind w:left="960"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78150438"/>
    <w:multiLevelType w:val="multilevel"/>
    <w:tmpl w:val="16540B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DDD64E4"/>
    <w:multiLevelType w:val="multilevel"/>
    <w:tmpl w:val="A55A1C74"/>
    <w:lvl w:ilvl="0">
      <w:start w:val="1"/>
      <w:numFmt w:val="decimal"/>
      <w:lvlText w:val="%1."/>
      <w:lvlJc w:val="left"/>
      <w:pPr>
        <w:ind w:left="1443" w:hanging="735"/>
      </w:pPr>
      <w:rPr>
        <w:rFonts w:hint="default"/>
        <w:u w:val="none"/>
      </w:rPr>
    </w:lvl>
    <w:lvl w:ilvl="1">
      <w:start w:val="1"/>
      <w:numFmt w:val="decimal"/>
      <w:isLgl/>
      <w:lvlText w:val="%1.%2."/>
      <w:lvlJc w:val="left"/>
      <w:pPr>
        <w:ind w:left="2160" w:hanging="72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448"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364" w:hanging="1800"/>
      </w:pPr>
      <w:rPr>
        <w:rFonts w:hint="default"/>
      </w:rPr>
    </w:lvl>
  </w:abstractNum>
  <w:num w:numId="1">
    <w:abstractNumId w:val="8"/>
  </w:num>
  <w:num w:numId="2">
    <w:abstractNumId w:val="13"/>
  </w:num>
  <w:num w:numId="3">
    <w:abstractNumId w:val="9"/>
  </w:num>
  <w:num w:numId="4">
    <w:abstractNumId w:val="5"/>
  </w:num>
  <w:num w:numId="5">
    <w:abstractNumId w:val="10"/>
  </w:num>
  <w:num w:numId="6">
    <w:abstractNumId w:val="3"/>
  </w:num>
  <w:num w:numId="7">
    <w:abstractNumId w:val="12"/>
  </w:num>
  <w:num w:numId="8">
    <w:abstractNumId w:val="11"/>
  </w:num>
  <w:num w:numId="9">
    <w:abstractNumId w:val="2"/>
  </w:num>
  <w:num w:numId="10">
    <w:abstractNumId w:val="4"/>
  </w:num>
  <w:num w:numId="11">
    <w:abstractNumId w:val="0"/>
  </w:num>
  <w:num w:numId="12">
    <w:abstractNumId w:val="1"/>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372240"/>
    <w:rsid w:val="000144AB"/>
    <w:rsid w:val="00037B01"/>
    <w:rsid w:val="001209DE"/>
    <w:rsid w:val="00164365"/>
    <w:rsid w:val="001A3F89"/>
    <w:rsid w:val="001C73C9"/>
    <w:rsid w:val="001F1D16"/>
    <w:rsid w:val="00211C64"/>
    <w:rsid w:val="002742F2"/>
    <w:rsid w:val="002D4509"/>
    <w:rsid w:val="002E4C1D"/>
    <w:rsid w:val="002F63C3"/>
    <w:rsid w:val="0031735B"/>
    <w:rsid w:val="00372240"/>
    <w:rsid w:val="003C0E44"/>
    <w:rsid w:val="00406437"/>
    <w:rsid w:val="004650CD"/>
    <w:rsid w:val="00470082"/>
    <w:rsid w:val="004B75E7"/>
    <w:rsid w:val="005024DE"/>
    <w:rsid w:val="00557DBC"/>
    <w:rsid w:val="005B21D8"/>
    <w:rsid w:val="00613A25"/>
    <w:rsid w:val="00637387"/>
    <w:rsid w:val="006420FD"/>
    <w:rsid w:val="006556BA"/>
    <w:rsid w:val="0066623C"/>
    <w:rsid w:val="006B59F2"/>
    <w:rsid w:val="006C7C60"/>
    <w:rsid w:val="006F5C32"/>
    <w:rsid w:val="00700BD7"/>
    <w:rsid w:val="00726FD6"/>
    <w:rsid w:val="007371E4"/>
    <w:rsid w:val="00743C32"/>
    <w:rsid w:val="00762E44"/>
    <w:rsid w:val="007C5CA1"/>
    <w:rsid w:val="00827562"/>
    <w:rsid w:val="00854D5D"/>
    <w:rsid w:val="00855A95"/>
    <w:rsid w:val="00887EE3"/>
    <w:rsid w:val="008C5E5D"/>
    <w:rsid w:val="0091374E"/>
    <w:rsid w:val="00951861"/>
    <w:rsid w:val="009B0F29"/>
    <w:rsid w:val="009D5414"/>
    <w:rsid w:val="009E5AAD"/>
    <w:rsid w:val="00A34AC2"/>
    <w:rsid w:val="00AD6AC3"/>
    <w:rsid w:val="00AF0A33"/>
    <w:rsid w:val="00B13B29"/>
    <w:rsid w:val="00B91811"/>
    <w:rsid w:val="00BC7162"/>
    <w:rsid w:val="00C13F04"/>
    <w:rsid w:val="00C4479D"/>
    <w:rsid w:val="00C75AC7"/>
    <w:rsid w:val="00CD3C17"/>
    <w:rsid w:val="00D072F5"/>
    <w:rsid w:val="00D12C94"/>
    <w:rsid w:val="00D22EF9"/>
    <w:rsid w:val="00D63915"/>
    <w:rsid w:val="00DF461D"/>
    <w:rsid w:val="00E145D3"/>
    <w:rsid w:val="00E25F05"/>
    <w:rsid w:val="00E36AF3"/>
    <w:rsid w:val="00E50920"/>
    <w:rsid w:val="00E604B4"/>
    <w:rsid w:val="00E62544"/>
    <w:rsid w:val="00E9180A"/>
    <w:rsid w:val="00F3603A"/>
    <w:rsid w:val="00FA76F4"/>
    <w:rsid w:val="00FF1528"/>
    <w:rsid w:val="00FF39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7562"/>
  </w:style>
  <w:style w:type="paragraph" w:styleId="berschrift1">
    <w:name w:val="heading 1"/>
    <w:basedOn w:val="Standard"/>
    <w:next w:val="Standard"/>
    <w:link w:val="berschrift1Zchn"/>
    <w:qFormat/>
    <w:rsid w:val="002D4509"/>
    <w:pPr>
      <w:keepNext/>
      <w:spacing w:before="240" w:after="60"/>
      <w:outlineLvl w:val="0"/>
    </w:pPr>
    <w:rPr>
      <w:rFonts w:ascii="Arial" w:eastAsia="Times New Roman" w:hAnsi="Arial" w:cs="Arial"/>
      <w:b/>
      <w:bCs/>
      <w:color w:val="auto"/>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72240"/>
    <w:pPr>
      <w:tabs>
        <w:tab w:val="center" w:pos="4536"/>
        <w:tab w:val="right" w:pos="9072"/>
      </w:tabs>
    </w:pPr>
  </w:style>
  <w:style w:type="character" w:customStyle="1" w:styleId="KopfzeileZchn">
    <w:name w:val="Kopfzeile Zchn"/>
    <w:basedOn w:val="Absatz-Standardschriftart"/>
    <w:link w:val="Kopfzeile"/>
    <w:uiPriority w:val="99"/>
    <w:rsid w:val="00372240"/>
  </w:style>
  <w:style w:type="paragraph" w:styleId="Fuzeile">
    <w:name w:val="footer"/>
    <w:basedOn w:val="Standard"/>
    <w:link w:val="FuzeileZchn"/>
    <w:uiPriority w:val="99"/>
    <w:unhideWhenUsed/>
    <w:rsid w:val="00372240"/>
    <w:pPr>
      <w:tabs>
        <w:tab w:val="center" w:pos="4536"/>
        <w:tab w:val="right" w:pos="9072"/>
      </w:tabs>
    </w:pPr>
  </w:style>
  <w:style w:type="character" w:customStyle="1" w:styleId="FuzeileZchn">
    <w:name w:val="Fußzeile Zchn"/>
    <w:basedOn w:val="Absatz-Standardschriftart"/>
    <w:link w:val="Fuzeile"/>
    <w:uiPriority w:val="99"/>
    <w:rsid w:val="00372240"/>
  </w:style>
  <w:style w:type="character" w:customStyle="1" w:styleId="berschrift1Zchn">
    <w:name w:val="Überschrift 1 Zchn"/>
    <w:basedOn w:val="Absatz-Standardschriftart"/>
    <w:link w:val="berschrift1"/>
    <w:rsid w:val="002D4509"/>
    <w:rPr>
      <w:rFonts w:ascii="Arial" w:eastAsia="Times New Roman" w:hAnsi="Arial" w:cs="Arial"/>
      <w:b/>
      <w:bCs/>
      <w:color w:val="auto"/>
      <w:kern w:val="32"/>
      <w:sz w:val="32"/>
      <w:szCs w:val="32"/>
      <w:lang w:eastAsia="de-DE"/>
    </w:rPr>
  </w:style>
  <w:style w:type="paragraph" w:styleId="Listenabsatz">
    <w:name w:val="List Paragraph"/>
    <w:basedOn w:val="Standard"/>
    <w:uiPriority w:val="34"/>
    <w:qFormat/>
    <w:rsid w:val="002D4509"/>
    <w:pPr>
      <w:ind w:left="720"/>
      <w:contextualSpacing/>
    </w:pPr>
    <w:rPr>
      <w:rFonts w:cs="Arial"/>
      <w:color w:val="000000"/>
      <w:szCs w:val="24"/>
      <w:lang w:val="de-AT"/>
    </w:rPr>
  </w:style>
  <w:style w:type="paragraph" w:styleId="Funotentext">
    <w:name w:val="footnote text"/>
    <w:basedOn w:val="Standard"/>
    <w:link w:val="FunotentextZchn"/>
    <w:semiHidden/>
    <w:rsid w:val="00637387"/>
    <w:rPr>
      <w:rFonts w:eastAsia="Times New Roman" w:cs="Times New Roman"/>
      <w:color w:val="auto"/>
      <w:sz w:val="20"/>
      <w:szCs w:val="20"/>
      <w:lang w:eastAsia="de-DE"/>
    </w:rPr>
  </w:style>
  <w:style w:type="character" w:customStyle="1" w:styleId="FunotentextZchn">
    <w:name w:val="Fußnotentext Zchn"/>
    <w:basedOn w:val="Absatz-Standardschriftart"/>
    <w:link w:val="Funotentext"/>
    <w:semiHidden/>
    <w:rsid w:val="00637387"/>
    <w:rPr>
      <w:rFonts w:eastAsia="Times New Roman" w:cs="Times New Roman"/>
      <w:color w:val="auto"/>
      <w:sz w:val="20"/>
      <w:szCs w:val="20"/>
      <w:lang w:eastAsia="de-DE"/>
    </w:rPr>
  </w:style>
  <w:style w:type="character" w:styleId="Funotenzeichen">
    <w:name w:val="footnote reference"/>
    <w:basedOn w:val="Absatz-Standardschriftart"/>
    <w:semiHidden/>
    <w:rsid w:val="00637387"/>
    <w:rPr>
      <w:vertAlign w:val="superscript"/>
    </w:rPr>
  </w:style>
  <w:style w:type="character" w:styleId="Hyperlink">
    <w:name w:val="Hyperlink"/>
    <w:basedOn w:val="Absatz-Standardschriftart"/>
    <w:rsid w:val="00637387"/>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6352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ie-infos.de/galerie_search.php?show_result=1&amp;pag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ema.de/kino/filmarchiv/film/das-parfum-die-geschichte-eines-moerders,1308090,ApplicationMovie.html?tab=Bild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moviegod.de/images/galleries/images/00002/127/127_2343_l.jp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ovie-infos.de/galerie_search.php?show_result=1&amp;page=2" TargetMode="External"/><Relationship Id="rId1" Type="http://schemas.openxmlformats.org/officeDocument/2006/relationships/hyperlink" Target="http://www.cinema.de/kino/filmarchiv/film/das-parfum-die-geschichte-eines-moerders,1308090,ApplicationMovie.html?tab=Bilde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95C3-4E1E-460C-BB90-037B4A6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5420</Words>
  <Characters>34151</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DELLNBX</Company>
  <LinksUpToDate>false</LinksUpToDate>
  <CharactersWithSpaces>39493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31</cp:revision>
  <dcterms:created xsi:type="dcterms:W3CDTF">2010-09-09T04:38:00Z</dcterms:created>
  <dcterms:modified xsi:type="dcterms:W3CDTF">2010-12-11T11:23:00Z</dcterms:modified>
</cp:coreProperties>
</file>